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8D4E279" w:rsidR="00A209D6" w:rsidRPr="00281B14" w:rsidRDefault="00A209D6" w:rsidP="00A85FF5">
      <w:pPr>
        <w:pStyle w:val="Header"/>
        <w:tabs>
          <w:tab w:val="right" w:pos="9639"/>
        </w:tabs>
        <w:jc w:val="both"/>
        <w:rPr>
          <w:bCs/>
          <w:i/>
          <w:noProof w:val="0"/>
          <w:sz w:val="24"/>
          <w:szCs w:val="24"/>
        </w:rPr>
      </w:pPr>
      <w:r w:rsidRPr="00281B14">
        <w:rPr>
          <w:bCs/>
          <w:noProof w:val="0"/>
          <w:sz w:val="24"/>
          <w:szCs w:val="24"/>
        </w:rPr>
        <w:t>3GPP TSG-RAN WG2 Meeting #</w:t>
      </w:r>
      <w:r w:rsidR="0036459E" w:rsidRPr="00281B14">
        <w:rPr>
          <w:bCs/>
          <w:noProof w:val="0"/>
          <w:sz w:val="24"/>
          <w:szCs w:val="24"/>
        </w:rPr>
        <w:t>11</w:t>
      </w:r>
      <w:r w:rsidR="00DF7C20" w:rsidRPr="00281B14">
        <w:rPr>
          <w:bCs/>
          <w:noProof w:val="0"/>
          <w:sz w:val="24"/>
          <w:szCs w:val="24"/>
        </w:rPr>
        <w:t>9</w:t>
      </w:r>
      <w:r w:rsidR="00E1253B">
        <w:rPr>
          <w:bCs/>
          <w:noProof w:val="0"/>
          <w:sz w:val="24"/>
          <w:szCs w:val="24"/>
        </w:rPr>
        <w:t>bis</w:t>
      </w:r>
      <w:r w:rsidR="00244A05" w:rsidRPr="00281B14">
        <w:rPr>
          <w:bCs/>
          <w:noProof w:val="0"/>
          <w:sz w:val="24"/>
          <w:szCs w:val="24"/>
        </w:rPr>
        <w:t xml:space="preserve"> Electronic</w:t>
      </w:r>
      <w:r w:rsidRPr="00281B14">
        <w:rPr>
          <w:bCs/>
          <w:noProof w:val="0"/>
          <w:sz w:val="24"/>
          <w:szCs w:val="24"/>
        </w:rPr>
        <w:tab/>
      </w:r>
      <w:r w:rsidRPr="00A85FF5">
        <w:rPr>
          <w:bCs/>
          <w:noProof w:val="0"/>
          <w:sz w:val="24"/>
          <w:szCs w:val="24"/>
        </w:rPr>
        <w:t>R2-</w:t>
      </w:r>
      <w:r w:rsidR="009376CD" w:rsidRPr="00A85FF5">
        <w:rPr>
          <w:bCs/>
          <w:noProof w:val="0"/>
          <w:sz w:val="24"/>
          <w:szCs w:val="24"/>
        </w:rPr>
        <w:t>2</w:t>
      </w:r>
      <w:r w:rsidR="005C7CD5" w:rsidRPr="00A85FF5">
        <w:rPr>
          <w:bCs/>
          <w:noProof w:val="0"/>
          <w:sz w:val="24"/>
          <w:szCs w:val="24"/>
        </w:rPr>
        <w:t>2</w:t>
      </w:r>
      <w:r w:rsidR="00441944">
        <w:rPr>
          <w:bCs/>
          <w:noProof w:val="0"/>
          <w:sz w:val="24"/>
          <w:szCs w:val="24"/>
        </w:rPr>
        <w:t>1</w:t>
      </w:r>
      <w:r w:rsidR="00C55A12" w:rsidRPr="00A85FF5">
        <w:rPr>
          <w:bCs/>
          <w:noProof w:val="0"/>
          <w:sz w:val="24"/>
          <w:szCs w:val="24"/>
        </w:rPr>
        <w:t>0</w:t>
      </w:r>
      <w:r w:rsidR="00441944">
        <w:rPr>
          <w:bCs/>
          <w:noProof w:val="0"/>
          <w:sz w:val="24"/>
          <w:szCs w:val="24"/>
        </w:rPr>
        <w:t>353</w:t>
      </w:r>
    </w:p>
    <w:p w14:paraId="2E02E5F5" w14:textId="7DD4C02F" w:rsidR="00A209D6" w:rsidRPr="00281B14" w:rsidRDefault="00A36F5F" w:rsidP="00A85FF5">
      <w:pPr>
        <w:pStyle w:val="Header"/>
        <w:tabs>
          <w:tab w:val="right" w:pos="9639"/>
        </w:tabs>
        <w:jc w:val="both"/>
        <w:rPr>
          <w:bCs/>
          <w:noProof w:val="0"/>
          <w:sz w:val="24"/>
        </w:rPr>
      </w:pPr>
      <w:r w:rsidRPr="00281B14">
        <w:rPr>
          <w:rFonts w:eastAsia="SimSun"/>
          <w:bCs/>
          <w:sz w:val="24"/>
          <w:szCs w:val="24"/>
          <w:lang w:eastAsia="zh-CN"/>
        </w:rPr>
        <w:t xml:space="preserve">Elbonia, </w:t>
      </w:r>
      <w:r w:rsidR="00DF7C20" w:rsidRPr="00281B14">
        <w:rPr>
          <w:rFonts w:eastAsia="SimSun"/>
          <w:bCs/>
          <w:sz w:val="24"/>
          <w:szCs w:val="24"/>
          <w:lang w:eastAsia="zh-CN"/>
        </w:rPr>
        <w:t>1</w:t>
      </w:r>
      <w:r w:rsidR="00E1253B">
        <w:rPr>
          <w:rFonts w:eastAsia="SimSun"/>
          <w:bCs/>
          <w:sz w:val="24"/>
          <w:szCs w:val="24"/>
          <w:lang w:eastAsia="zh-CN"/>
        </w:rPr>
        <w:t>0</w:t>
      </w:r>
      <w:r w:rsidR="005C7CD5" w:rsidRPr="00281B14">
        <w:rPr>
          <w:rFonts w:eastAsia="SimSun"/>
          <w:bCs/>
          <w:sz w:val="24"/>
          <w:szCs w:val="24"/>
          <w:lang w:eastAsia="zh-CN"/>
        </w:rPr>
        <w:t xml:space="preserve"> – </w:t>
      </w:r>
      <w:r w:rsidR="00E1253B">
        <w:rPr>
          <w:rFonts w:eastAsia="SimSun"/>
          <w:bCs/>
          <w:sz w:val="24"/>
          <w:szCs w:val="24"/>
          <w:lang w:eastAsia="zh-CN"/>
        </w:rPr>
        <w:t>19</w:t>
      </w:r>
      <w:r w:rsidR="005C7CD5" w:rsidRPr="00281B14">
        <w:rPr>
          <w:rFonts w:eastAsia="SimSun"/>
          <w:bCs/>
          <w:sz w:val="24"/>
          <w:szCs w:val="24"/>
          <w:lang w:eastAsia="zh-CN"/>
        </w:rPr>
        <w:t xml:space="preserve"> </w:t>
      </w:r>
      <w:r w:rsidR="00E1253B">
        <w:rPr>
          <w:rFonts w:eastAsia="SimSun"/>
          <w:bCs/>
          <w:sz w:val="24"/>
          <w:szCs w:val="24"/>
          <w:lang w:eastAsia="zh-CN"/>
        </w:rPr>
        <w:t>October</w:t>
      </w:r>
      <w:r w:rsidR="005C7CD5" w:rsidRPr="00281B14">
        <w:rPr>
          <w:rFonts w:eastAsia="SimSun"/>
          <w:bCs/>
          <w:sz w:val="24"/>
          <w:szCs w:val="24"/>
          <w:lang w:eastAsia="zh-CN"/>
        </w:rPr>
        <w:t xml:space="preserve"> 2022</w:t>
      </w:r>
      <w:r w:rsidR="00A209D6" w:rsidRPr="00281B14">
        <w:rPr>
          <w:rFonts w:eastAsia="SimSun"/>
          <w:noProof w:val="0"/>
          <w:sz w:val="24"/>
          <w:szCs w:val="24"/>
          <w:lang w:eastAsia="zh-CN"/>
        </w:rPr>
        <w:tab/>
      </w:r>
    </w:p>
    <w:p w14:paraId="403CB9C0" w14:textId="77777777" w:rsidR="00A209D6" w:rsidRPr="00281B14" w:rsidRDefault="00A209D6" w:rsidP="00A85FF5">
      <w:pPr>
        <w:pStyle w:val="Header"/>
        <w:jc w:val="both"/>
        <w:rPr>
          <w:bCs/>
          <w:noProof w:val="0"/>
          <w:sz w:val="24"/>
        </w:rPr>
      </w:pPr>
    </w:p>
    <w:p w14:paraId="310B92C9" w14:textId="5508FF0A" w:rsidR="00446C3A" w:rsidRPr="00281B14" w:rsidRDefault="00446C3A" w:rsidP="00A85FF5">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003B1C5A" w:rsidRPr="00281B14">
        <w:rPr>
          <w:rFonts w:cs="Arial"/>
          <w:b/>
          <w:bCs/>
          <w:sz w:val="24"/>
          <w:lang w:eastAsia="ja-JP"/>
        </w:rPr>
        <w:t>8.</w:t>
      </w:r>
      <w:r w:rsidR="00564A13">
        <w:rPr>
          <w:rFonts w:cs="Arial"/>
          <w:b/>
          <w:bCs/>
          <w:sz w:val="24"/>
          <w:lang w:eastAsia="ja-JP"/>
        </w:rPr>
        <w:t>7.4</w:t>
      </w:r>
    </w:p>
    <w:p w14:paraId="73188B46" w14:textId="77777777" w:rsidR="00446C3A" w:rsidRPr="00281B14" w:rsidRDefault="00446C3A" w:rsidP="00A85FF5">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4D0064EF" w:rsidR="00446C3A" w:rsidRPr="00281B14" w:rsidRDefault="614C2638" w:rsidP="1FCA92A7">
      <w:pPr>
        <w:ind w:left="1985" w:hanging="1985"/>
        <w:jc w:val="both"/>
        <w:rPr>
          <w:rFonts w:ascii="Arial" w:hAnsi="Arial" w:cs="Arial"/>
          <w:b/>
          <w:bCs/>
          <w:sz w:val="24"/>
          <w:szCs w:val="24"/>
        </w:rPr>
      </w:pPr>
      <w:r w:rsidRPr="1FCA92A7">
        <w:rPr>
          <w:rFonts w:ascii="Arial" w:hAnsi="Arial" w:cs="Arial"/>
          <w:b/>
          <w:bCs/>
          <w:sz w:val="24"/>
          <w:szCs w:val="24"/>
        </w:rPr>
        <w:t>Title:</w:t>
      </w:r>
      <w:r w:rsidR="00446C3A">
        <w:tab/>
      </w:r>
      <w:r w:rsidR="6626D3BE" w:rsidRPr="1FCA92A7">
        <w:rPr>
          <w:rFonts w:ascii="Arial" w:hAnsi="Arial" w:cs="Arial"/>
          <w:b/>
          <w:bCs/>
          <w:sz w:val="24"/>
          <w:szCs w:val="24"/>
        </w:rPr>
        <w:t>Further view on Idle- and Connected-mode NTN mobility in Rel-18</w:t>
      </w:r>
    </w:p>
    <w:p w14:paraId="25F387E8" w14:textId="5D625D84" w:rsidR="00446C3A" w:rsidRPr="00281B14" w:rsidRDefault="00446C3A" w:rsidP="00A85FF5">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proofErr w:type="spellStart"/>
      <w:r w:rsidR="00564A13" w:rsidRPr="00564A13">
        <w:rPr>
          <w:rFonts w:ascii="Arial" w:hAnsi="Arial" w:cs="Arial"/>
          <w:b/>
          <w:bCs/>
          <w:sz w:val="24"/>
        </w:rPr>
        <w:t>NR_NTN_enh</w:t>
      </w:r>
      <w:proofErr w:type="spellEnd"/>
      <w:r w:rsidR="00564A13">
        <w:rPr>
          <w:rFonts w:ascii="Arial" w:hAnsi="Arial" w:cs="Arial"/>
          <w:b/>
          <w:bCs/>
          <w:sz w:val="24"/>
        </w:rPr>
        <w:t xml:space="preserve"> – Rel-18</w:t>
      </w:r>
    </w:p>
    <w:p w14:paraId="6FEB19D6" w14:textId="77777777" w:rsidR="00446C3A" w:rsidRPr="00281B14" w:rsidRDefault="00446C3A" w:rsidP="00A85FF5">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A85FF5">
      <w:pPr>
        <w:pStyle w:val="Heading1"/>
        <w:jc w:val="both"/>
      </w:pPr>
      <w:r w:rsidRPr="00281B14">
        <w:t>1</w:t>
      </w:r>
      <w:r w:rsidRPr="00281B14">
        <w:tab/>
        <w:t>Introduction</w:t>
      </w:r>
    </w:p>
    <w:p w14:paraId="37EA1E26" w14:textId="541F966C" w:rsidR="003A0F0F" w:rsidRDefault="00C3565D" w:rsidP="00A85FF5">
      <w:pPr>
        <w:jc w:val="both"/>
      </w:pPr>
      <w:r>
        <w:t xml:space="preserve">The following WI objective has been agreed </w:t>
      </w:r>
      <w:r w:rsidR="00CA3375">
        <w:t xml:space="preserve">for Rel-18 NTN </w:t>
      </w:r>
      <w:r w:rsidR="00DF3251">
        <w:t>WI</w:t>
      </w:r>
      <w:r w:rsidR="00816BA1">
        <w:t xml:space="preserve"> </w:t>
      </w:r>
      <w:r w:rsidR="005628CA">
        <w:rPr>
          <w:rFonts w:cs="Arial"/>
        </w:rPr>
        <w:fldChar w:fldCharType="begin"/>
      </w:r>
      <w:r w:rsidR="005628CA">
        <w:rPr>
          <w:rFonts w:cs="Arial"/>
        </w:rPr>
        <w:instrText xml:space="preserve"> REF _Ref109128637 \r \h </w:instrText>
      </w:r>
      <w:r w:rsidR="00B91B86">
        <w:rPr>
          <w:rFonts w:cs="Arial"/>
        </w:rPr>
        <w:instrText xml:space="preserve"> \* MERGEFORMAT </w:instrText>
      </w:r>
      <w:r w:rsidR="005628CA">
        <w:rPr>
          <w:rFonts w:cs="Arial"/>
        </w:rPr>
      </w:r>
      <w:r w:rsidR="005628CA">
        <w:rPr>
          <w:rFonts w:cs="Arial"/>
        </w:rPr>
        <w:fldChar w:fldCharType="separate"/>
      </w:r>
      <w:r w:rsidR="005628CA">
        <w:rPr>
          <w:rFonts w:cs="Arial"/>
        </w:rPr>
        <w:t>[1]</w:t>
      </w:r>
      <w:r w:rsidR="005628CA">
        <w:rPr>
          <w:rFonts w:cs="Arial"/>
        </w:rPr>
        <w:fldChar w:fldCharType="end"/>
      </w:r>
      <w:r w:rsidR="002C62DD">
        <w:t>:</w:t>
      </w:r>
    </w:p>
    <w:tbl>
      <w:tblPr>
        <w:tblStyle w:val="TableGrid"/>
        <w:tblW w:w="0" w:type="auto"/>
        <w:tblLook w:val="04A0" w:firstRow="1" w:lastRow="0" w:firstColumn="1" w:lastColumn="0" w:noHBand="0" w:noVBand="1"/>
      </w:tblPr>
      <w:tblGrid>
        <w:gridCol w:w="9631"/>
      </w:tblGrid>
      <w:tr w:rsidR="005628CA" w14:paraId="634D3544" w14:textId="77777777" w:rsidTr="005628CA">
        <w:tc>
          <w:tcPr>
            <w:tcW w:w="9631" w:type="dxa"/>
          </w:tcPr>
          <w:p w14:paraId="3ED162CE" w14:textId="77777777" w:rsidR="005628CA" w:rsidRPr="003D663A" w:rsidRDefault="005628CA" w:rsidP="00A85FF5">
            <w:pPr>
              <w:jc w:val="both"/>
              <w:rPr>
                <w:rFonts w:eastAsia="Calibri"/>
                <w:lang w:val="en-US"/>
              </w:rPr>
            </w:pPr>
            <w:r w:rsidRPr="003D663A">
              <w:rPr>
                <w:rFonts w:eastAsia="Calibri"/>
                <w:lang w:val="en-US"/>
              </w:rPr>
              <w:t>4.1.4</w:t>
            </w:r>
            <w:r w:rsidRPr="003D663A">
              <w:rPr>
                <w:lang w:val="en-US"/>
              </w:rPr>
              <w:tab/>
            </w:r>
            <w:r w:rsidRPr="003D663A">
              <w:rPr>
                <w:rFonts w:eastAsia="Calibri"/>
                <w:lang w:val="en-US"/>
              </w:rPr>
              <w:t>NTN-TN and NTN-NTN mobility and service continuity enhancements</w:t>
            </w:r>
          </w:p>
          <w:p w14:paraId="01C85A9F" w14:textId="77777777" w:rsidR="005628CA" w:rsidRPr="003D663A" w:rsidRDefault="005628CA" w:rsidP="00A85FF5">
            <w:pPr>
              <w:jc w:val="both"/>
              <w:rPr>
                <w:rFonts w:eastAsia="Calibri"/>
                <w:lang w:val="en-US"/>
              </w:rPr>
            </w:pPr>
            <w:r w:rsidRPr="003D663A">
              <w:rPr>
                <w:rFonts w:eastAsia="Calibri"/>
                <w:lang w:val="en-US"/>
              </w:rPr>
              <w:t>This work considers existing methods from NR TN as well as outcome of Rel-17 NR NTN WI outcome as baseline for NTN-TN mobility.</w:t>
            </w:r>
          </w:p>
          <w:p w14:paraId="7E493ACF" w14:textId="77777777" w:rsidR="005628CA" w:rsidRPr="003D663A" w:rsidRDefault="005628CA" w:rsidP="00A85FF5">
            <w:pPr>
              <w:jc w:val="both"/>
              <w:rPr>
                <w:rFonts w:eastAsia="Calibri"/>
                <w:lang w:val="en-US"/>
              </w:rPr>
            </w:pPr>
            <w:r w:rsidRPr="003D663A">
              <w:rPr>
                <w:rFonts w:eastAsia="Calibri"/>
                <w:lang w:val="en-US"/>
              </w:rPr>
              <w:t xml:space="preserve"> Specify NTN-TN and NTN-NTN measurement/mobility and service continuity enhancements [RAN2,RAN3,RAN4]</w:t>
            </w:r>
          </w:p>
          <w:p w14:paraId="5A62081E" w14:textId="77777777" w:rsidR="005628CA" w:rsidRDefault="005628CA" w:rsidP="00A85FF5">
            <w:pPr>
              <w:pStyle w:val="ListParagraph"/>
              <w:numPr>
                <w:ilvl w:val="1"/>
                <w:numId w:val="30"/>
              </w:numPr>
              <w:jc w:val="both"/>
              <w:rPr>
                <w:lang w:val="en-US"/>
              </w:rPr>
            </w:pPr>
            <w:r w:rsidRPr="003D663A">
              <w:rPr>
                <w:rFonts w:eastAsia="Calibri"/>
                <w:lang w:val="en-US"/>
              </w:rPr>
              <w:t>For NTN-NTN mobility, specify cell reselection enhancements for earth moving cell, the timing based and location-based cell reselection for quasi-earth fixed cell in Rel-17 can be considered as the starting point. [RAN2, RAN3, RAN4]</w:t>
            </w:r>
          </w:p>
          <w:p w14:paraId="7DDE4D79" w14:textId="77777777" w:rsidR="005628CA" w:rsidRDefault="005628CA" w:rsidP="00A85FF5">
            <w:pPr>
              <w:pStyle w:val="ListParagraph"/>
              <w:numPr>
                <w:ilvl w:val="1"/>
                <w:numId w:val="30"/>
              </w:numPr>
              <w:jc w:val="both"/>
              <w:rPr>
                <w:lang w:val="en-US"/>
              </w:rPr>
            </w:pPr>
            <w:r w:rsidRPr="003D663A">
              <w:rPr>
                <w:rFonts w:eastAsia="Calibri"/>
                <w:lang w:val="en-US"/>
              </w:rPr>
              <w:t xml:space="preserve">Specify NTN-NTN handover enhancement for RRC_CONNECTED UEs in the quasi-earth-fixed cell and earth-moving cell to reduce the </w:t>
            </w:r>
            <w:proofErr w:type="spellStart"/>
            <w:r w:rsidRPr="003D663A">
              <w:rPr>
                <w:rFonts w:eastAsia="Calibri"/>
                <w:lang w:val="en-US"/>
              </w:rPr>
              <w:t>signalling</w:t>
            </w:r>
            <w:proofErr w:type="spellEnd"/>
            <w:r w:rsidRPr="003D663A">
              <w:rPr>
                <w:rFonts w:eastAsia="Calibri"/>
                <w:lang w:val="en-US"/>
              </w:rPr>
              <w:t xml:space="preserve"> overhead. [RAN2, RAN3]</w:t>
            </w:r>
          </w:p>
          <w:p w14:paraId="544F0E58" w14:textId="77777777" w:rsidR="005628CA" w:rsidRDefault="005628CA" w:rsidP="00A85FF5">
            <w:pPr>
              <w:pStyle w:val="ListParagraph"/>
              <w:numPr>
                <w:ilvl w:val="1"/>
                <w:numId w:val="30"/>
              </w:numPr>
              <w:jc w:val="both"/>
              <w:rPr>
                <w:lang w:val="en-US"/>
              </w:rPr>
            </w:pPr>
            <w:r w:rsidRPr="003D663A">
              <w:rPr>
                <w:rFonts w:eastAsia="Calibri"/>
                <w:lang w:val="en-US"/>
              </w:rPr>
              <w:t>Specify cell reselection enhancements for RRC_IDLE/INACTIVE UEs to reduce UE power consumption (NTN-TN mobility is prioritized). [RAN2, RAN3, RAN4]</w:t>
            </w:r>
          </w:p>
          <w:p w14:paraId="20E3EECF" w14:textId="210B5091" w:rsidR="005628CA" w:rsidRDefault="005628CA" w:rsidP="00A85FF5">
            <w:pPr>
              <w:pStyle w:val="ListParagraph"/>
              <w:numPr>
                <w:ilvl w:val="1"/>
                <w:numId w:val="30"/>
              </w:numPr>
              <w:jc w:val="both"/>
            </w:pPr>
            <w:r w:rsidRPr="003D663A">
              <w:rPr>
                <w:rFonts w:eastAsia="Calibri"/>
                <w:lang w:val="en-US"/>
              </w:rPr>
              <w:t xml:space="preserve">Study and, if needed, specify enhancement to </w:t>
            </w:r>
            <w:proofErr w:type="spellStart"/>
            <w:r w:rsidRPr="003D663A">
              <w:rPr>
                <w:rFonts w:eastAsia="Calibri"/>
                <w:lang w:val="en-US"/>
              </w:rPr>
              <w:t>Xn</w:t>
            </w:r>
            <w:proofErr w:type="spellEnd"/>
            <w:r w:rsidRPr="003D663A">
              <w:rPr>
                <w:rFonts w:eastAsia="Calibri"/>
                <w:lang w:val="en-US"/>
              </w:rPr>
              <w:t xml:space="preserve">[/NG] </w:t>
            </w:r>
            <w:proofErr w:type="spellStart"/>
            <w:r w:rsidRPr="003D663A">
              <w:rPr>
                <w:rFonts w:eastAsia="Calibri"/>
                <w:lang w:val="en-US"/>
              </w:rPr>
              <w:t>signalling</w:t>
            </w:r>
            <w:proofErr w:type="spellEnd"/>
            <w:r w:rsidRPr="003D663A">
              <w:rPr>
                <w:rFonts w:eastAsia="Calibri"/>
                <w:lang w:val="en-US"/>
              </w:rPr>
              <w:t xml:space="preserve"> to support feeder link switch-over, CHO, e.g. exchange of necessary information between </w:t>
            </w:r>
            <w:proofErr w:type="spellStart"/>
            <w:r w:rsidRPr="003D663A">
              <w:rPr>
                <w:rFonts w:eastAsia="Calibri"/>
                <w:lang w:val="en-US"/>
              </w:rPr>
              <w:t>gNBs</w:t>
            </w:r>
            <w:proofErr w:type="spellEnd"/>
            <w:r w:rsidRPr="003D663A">
              <w:rPr>
                <w:rFonts w:eastAsia="Calibri"/>
                <w:lang w:val="en-US"/>
              </w:rPr>
              <w:t>. [RAN3]</w:t>
            </w:r>
          </w:p>
        </w:tc>
      </w:tr>
    </w:tbl>
    <w:p w14:paraId="30E2173B" w14:textId="42C4885F" w:rsidR="00E1253B" w:rsidRDefault="00984CC3" w:rsidP="00A85FF5">
      <w:pPr>
        <w:spacing w:line="257" w:lineRule="auto"/>
        <w:jc w:val="both"/>
      </w:pPr>
      <w:r>
        <w:br/>
      </w:r>
      <w:r w:rsidR="00E1253B">
        <w:t>At RAN2</w:t>
      </w:r>
      <w:r w:rsidR="00E1253B" w:rsidRPr="00E1253B">
        <w:t>#119</w:t>
      </w:r>
      <w:r w:rsidR="00E1253B">
        <w:t xml:space="preserve"> the following decisions have been made </w:t>
      </w:r>
      <w:r w:rsidR="00E1253B">
        <w:fldChar w:fldCharType="begin"/>
      </w:r>
      <w:r w:rsidR="00E1253B">
        <w:instrText xml:space="preserve"> REF _Ref113960727 \r \h </w:instrText>
      </w:r>
      <w:r w:rsidR="00E1253B">
        <w:fldChar w:fldCharType="separate"/>
      </w:r>
      <w:r w:rsidR="00E1253B">
        <w:t>[2]</w:t>
      </w:r>
      <w:r w:rsidR="00E1253B">
        <w:fldChar w:fldCharType="end"/>
      </w:r>
      <w:r w:rsidR="00E1253B">
        <w:t>:</w:t>
      </w:r>
    </w:p>
    <w:tbl>
      <w:tblPr>
        <w:tblStyle w:val="TableGrid"/>
        <w:tblW w:w="0" w:type="auto"/>
        <w:tblLook w:val="04A0" w:firstRow="1" w:lastRow="0" w:firstColumn="1" w:lastColumn="0" w:noHBand="0" w:noVBand="1"/>
      </w:tblPr>
      <w:tblGrid>
        <w:gridCol w:w="9631"/>
      </w:tblGrid>
      <w:tr w:rsidR="00E1253B" w14:paraId="1076FBDB" w14:textId="77777777" w:rsidTr="00E1253B">
        <w:tc>
          <w:tcPr>
            <w:tcW w:w="9631" w:type="dxa"/>
          </w:tcPr>
          <w:p w14:paraId="74E4558D" w14:textId="77777777" w:rsidR="00E1253B" w:rsidRDefault="00E1253B" w:rsidP="00E1253B">
            <w:pPr>
              <w:spacing w:line="257" w:lineRule="auto"/>
              <w:jc w:val="both"/>
            </w:pPr>
            <w:r>
              <w:t>Agreements:</w:t>
            </w:r>
          </w:p>
          <w:p w14:paraId="76B30665" w14:textId="77777777" w:rsidR="00E1253B" w:rsidRDefault="00E1253B" w:rsidP="00E1253B">
            <w:pPr>
              <w:spacing w:line="257" w:lineRule="auto"/>
              <w:jc w:val="both"/>
            </w:pPr>
            <w:r>
              <w:t>1.</w:t>
            </w:r>
            <w:r>
              <w:tab/>
              <w:t xml:space="preserve">RAN2 to work on a solution so that measurements for TN’s coverage are performed only when relevant (FFS what relevant means). </w:t>
            </w:r>
          </w:p>
          <w:p w14:paraId="4D093A6A" w14:textId="77777777" w:rsidR="00E1253B" w:rsidRDefault="00E1253B" w:rsidP="00E1253B">
            <w:pPr>
              <w:spacing w:line="257" w:lineRule="auto"/>
              <w:jc w:val="both"/>
            </w:pPr>
            <w:r>
              <w:t>2.</w:t>
            </w:r>
            <w:r>
              <w:tab/>
              <w:t>RAN2 to work on assistance information that can be provided to NTN UEs for the above.</w:t>
            </w:r>
          </w:p>
          <w:p w14:paraId="3850D7E3" w14:textId="7612D9BC" w:rsidR="00E1253B" w:rsidRDefault="00E1253B" w:rsidP="00E1253B">
            <w:pPr>
              <w:spacing w:line="257" w:lineRule="auto"/>
              <w:jc w:val="both"/>
            </w:pPr>
            <w:r>
              <w:t>3.</w:t>
            </w:r>
            <w:r>
              <w:tab/>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tc>
      </w:tr>
    </w:tbl>
    <w:p w14:paraId="525C1B21" w14:textId="2AC59CCF" w:rsidR="28E01862" w:rsidRDefault="00E1253B" w:rsidP="00A85FF5">
      <w:pPr>
        <w:spacing w:line="257" w:lineRule="auto"/>
        <w:jc w:val="both"/>
      </w:pPr>
      <w:r>
        <w:br/>
      </w:r>
      <w:r w:rsidR="00984CC3">
        <w:t xml:space="preserve">In this paper we outline our </w:t>
      </w:r>
      <w:r w:rsidR="0068324E">
        <w:t xml:space="preserve">further </w:t>
      </w:r>
      <w:r w:rsidR="00984CC3">
        <w:t>views regarding Rel-18 mobility/service continuity enhancements, for both TN-NTN and NTN-NTN scenarios</w:t>
      </w:r>
      <w:r w:rsidR="0068324E">
        <w:t xml:space="preserve"> and for IDLE and CONNECTED</w:t>
      </w:r>
      <w:r w:rsidR="00984CC3">
        <w:t>.</w:t>
      </w:r>
    </w:p>
    <w:p w14:paraId="7D484B6E" w14:textId="44E4B91A" w:rsidR="009339CB" w:rsidRPr="00281B14" w:rsidRDefault="009339CB" w:rsidP="00A85FF5">
      <w:pPr>
        <w:pStyle w:val="Heading1"/>
        <w:jc w:val="both"/>
      </w:pPr>
      <w:r w:rsidRPr="00281B14">
        <w:t>2</w:t>
      </w:r>
      <w:r w:rsidRPr="00281B14">
        <w:tab/>
      </w:r>
      <w:r w:rsidR="0068324E">
        <w:t>IDLE mode</w:t>
      </w:r>
    </w:p>
    <w:p w14:paraId="2DD56199" w14:textId="77777777" w:rsidR="00AC0202" w:rsidRDefault="0068324E" w:rsidP="009A5A22">
      <w:pPr>
        <w:jc w:val="both"/>
      </w:pPr>
      <w:r>
        <w:rPr>
          <w:lang w:val="en-US"/>
        </w:rPr>
        <w:t xml:space="preserve">In the agreement quoted above it is for further study if the same or different solution for cell reselection enhancements is applicable to Earth-moving and Earth-fixed scenarios. </w:t>
      </w:r>
      <w:r w:rsidR="009A5A22">
        <w:rPr>
          <w:lang w:val="en-US"/>
        </w:rPr>
        <w:t xml:space="preserve">The Rel-17 enhancements for quasi-Earth fixed cells </w:t>
      </w:r>
      <w:r w:rsidR="009A5A22">
        <w:t xml:space="preserve">has been captured in </w:t>
      </w:r>
      <w:r w:rsidR="009A5A22">
        <w:fldChar w:fldCharType="begin"/>
      </w:r>
      <w:r w:rsidR="009A5A22">
        <w:instrText xml:space="preserve"> REF _Ref113965131 \r \h </w:instrText>
      </w:r>
      <w:r w:rsidR="009A5A22">
        <w:fldChar w:fldCharType="separate"/>
      </w:r>
      <w:r w:rsidR="009A5A22">
        <w:t>[3]</w:t>
      </w:r>
      <w:r w:rsidR="009A5A22">
        <w:fldChar w:fldCharType="end"/>
      </w:r>
      <w:r w:rsidR="009A5A22">
        <w:t xml:space="preserve">, section 5.2.4.2. </w:t>
      </w:r>
    </w:p>
    <w:p w14:paraId="676B8F32" w14:textId="1A477415" w:rsidR="009B02D6" w:rsidRDefault="009B02D6" w:rsidP="007E7903">
      <w:pPr>
        <w:pStyle w:val="Heading2"/>
      </w:pPr>
      <w:r>
        <w:t xml:space="preserve">2.1 </w:t>
      </w:r>
      <w:r>
        <w:tab/>
        <w:t>Intra-NTN case</w:t>
      </w:r>
    </w:p>
    <w:p w14:paraId="1083D2FA" w14:textId="0AEDFF65" w:rsidR="009A5A22" w:rsidRDefault="009A5A22" w:rsidP="009A5A22">
      <w:pPr>
        <w:jc w:val="both"/>
      </w:pPr>
      <w:r>
        <w:t>For quasi-Earth fixed scenario there are already mechanisms available, which allow using UE’s position and time for performing cell reselection-related measurements.</w:t>
      </w:r>
    </w:p>
    <w:p w14:paraId="2C416E88" w14:textId="6CD30E96" w:rsidR="009A5A22" w:rsidRPr="0085135C" w:rsidRDefault="009A5A22" w:rsidP="009A5A22">
      <w:pPr>
        <w:jc w:val="both"/>
        <w:rPr>
          <w:b/>
          <w:bCs/>
        </w:rPr>
      </w:pPr>
      <w:r w:rsidRPr="0085135C">
        <w:rPr>
          <w:b/>
          <w:bCs/>
        </w:rPr>
        <w:t xml:space="preserve">Observation </w:t>
      </w:r>
      <w:r>
        <w:rPr>
          <w:b/>
          <w:bCs/>
        </w:rPr>
        <w:t>1</w:t>
      </w:r>
      <w:r w:rsidRPr="0085135C">
        <w:rPr>
          <w:b/>
          <w:bCs/>
        </w:rPr>
        <w:t>: Rel-17 introduce</w:t>
      </w:r>
      <w:r>
        <w:rPr>
          <w:b/>
          <w:bCs/>
        </w:rPr>
        <w:t>d</w:t>
      </w:r>
      <w:r w:rsidRPr="0085135C">
        <w:rPr>
          <w:b/>
          <w:bCs/>
        </w:rPr>
        <w:t xml:space="preserve"> </w:t>
      </w:r>
      <w:proofErr w:type="spellStart"/>
      <w:r w:rsidRPr="0085135C">
        <w:rPr>
          <w:b/>
          <w:bCs/>
          <w:i/>
          <w:iCs/>
        </w:rPr>
        <w:t>distanceThresh</w:t>
      </w:r>
      <w:proofErr w:type="spellEnd"/>
      <w:r w:rsidRPr="0085135C">
        <w:rPr>
          <w:b/>
          <w:bCs/>
        </w:rPr>
        <w:t xml:space="preserve"> and </w:t>
      </w:r>
      <w:r w:rsidRPr="0085135C">
        <w:rPr>
          <w:b/>
          <w:bCs/>
          <w:i/>
          <w:iCs/>
        </w:rPr>
        <w:t>t-Service</w:t>
      </w:r>
      <w:r w:rsidRPr="0085135C">
        <w:rPr>
          <w:b/>
          <w:bCs/>
        </w:rPr>
        <w:t xml:space="preserve"> which can be used by the UEs in quasi-Earth fixed cell to perform cell reselection measurements.</w:t>
      </w:r>
    </w:p>
    <w:p w14:paraId="22EBAD2B" w14:textId="77777777" w:rsidR="00AA2448" w:rsidRDefault="00AA2448" w:rsidP="00AA2448">
      <w:pPr>
        <w:jc w:val="both"/>
      </w:pPr>
      <w:r>
        <w:t xml:space="preserve">Similar mechanisms were not supported for Earth-moving cells as it was claimed to be much more difficult to specify these (considering cell footprint’s continuous movement). </w:t>
      </w:r>
    </w:p>
    <w:p w14:paraId="465EFFD2" w14:textId="5301EEC0" w:rsidR="00AA2448" w:rsidRDefault="00AA2448" w:rsidP="00AA2448">
      <w:pPr>
        <w:jc w:val="both"/>
        <w:rPr>
          <w:b/>
          <w:bCs/>
        </w:rPr>
      </w:pPr>
      <w:r w:rsidRPr="0085135C">
        <w:rPr>
          <w:b/>
          <w:bCs/>
        </w:rPr>
        <w:t xml:space="preserve">Observation </w:t>
      </w:r>
      <w:r>
        <w:rPr>
          <w:b/>
          <w:bCs/>
        </w:rPr>
        <w:t>2</w:t>
      </w:r>
      <w:r w:rsidRPr="0085135C">
        <w:rPr>
          <w:b/>
          <w:bCs/>
        </w:rPr>
        <w:t xml:space="preserve">: </w:t>
      </w:r>
      <w:r>
        <w:rPr>
          <w:b/>
          <w:bCs/>
        </w:rPr>
        <w:t xml:space="preserve">using distance threshold or </w:t>
      </w:r>
      <w:r w:rsidRPr="004C6860">
        <w:rPr>
          <w:b/>
          <w:bCs/>
          <w:i/>
          <w:iCs/>
        </w:rPr>
        <w:t>t-Service</w:t>
      </w:r>
      <w:r>
        <w:rPr>
          <w:b/>
          <w:bCs/>
        </w:rPr>
        <w:t xml:space="preserve"> for cell reselections in Earth-moving NTN scenario is more complex than in quasi-Earth fixed NTN case.</w:t>
      </w:r>
    </w:p>
    <w:p w14:paraId="36836C69" w14:textId="77777777" w:rsidR="00AA2448" w:rsidRDefault="00AA2448" w:rsidP="00AA2448">
      <w:pPr>
        <w:jc w:val="both"/>
      </w:pPr>
      <w:r>
        <w:t>It is difficult to imagine the NTN Earth-moving cell which continuously modifies its reference location (provided in SIB19). Thus, if a similar mechanism to what was agreed in Rel-17 is to be supported, there needs to be different means for that - UE-individual estimations are needed. Each user will have to perform appropriate calculations, considering:</w:t>
      </w:r>
    </w:p>
    <w:p w14:paraId="6AE2CA57" w14:textId="77777777" w:rsidR="00AA2448" w:rsidRDefault="00AA2448" w:rsidP="00AA2448">
      <w:pPr>
        <w:pStyle w:val="ListParagraph"/>
        <w:numPr>
          <w:ilvl w:val="0"/>
          <w:numId w:val="29"/>
        </w:numPr>
        <w:jc w:val="both"/>
      </w:pPr>
      <w:r>
        <w:t>Satellite’s ephemeris (to know how rapidly and in which direction the satellite moves)</w:t>
      </w:r>
    </w:p>
    <w:p w14:paraId="19794F6A" w14:textId="77777777" w:rsidR="00AA2448" w:rsidRDefault="00AA2448" w:rsidP="00AA2448">
      <w:pPr>
        <w:pStyle w:val="ListParagraph"/>
        <w:numPr>
          <w:ilvl w:val="0"/>
          <w:numId w:val="29"/>
        </w:numPr>
        <w:jc w:val="both"/>
      </w:pPr>
      <w:r>
        <w:t>Cell’s reference location (read from SIB)</w:t>
      </w:r>
    </w:p>
    <w:p w14:paraId="5DE846E2" w14:textId="77777777" w:rsidR="00AA2448" w:rsidRDefault="00AA2448" w:rsidP="00AA2448">
      <w:pPr>
        <w:pStyle w:val="ListParagraph"/>
        <w:numPr>
          <w:ilvl w:val="0"/>
          <w:numId w:val="29"/>
        </w:numPr>
        <w:jc w:val="both"/>
      </w:pPr>
      <w:r>
        <w:t>UE’s own location</w:t>
      </w:r>
    </w:p>
    <w:p w14:paraId="32F440D7" w14:textId="0F1944ED" w:rsidR="00AA2448" w:rsidRPr="00DB3ECF" w:rsidRDefault="00AA2448" w:rsidP="00AA2448">
      <w:pPr>
        <w:jc w:val="both"/>
        <w:rPr>
          <w:b/>
          <w:bCs/>
        </w:rPr>
      </w:pPr>
      <w:r w:rsidRPr="00DB3ECF">
        <w:rPr>
          <w:b/>
          <w:bCs/>
        </w:rPr>
        <w:t xml:space="preserve">Proposal </w:t>
      </w:r>
      <w:r>
        <w:rPr>
          <w:b/>
          <w:bCs/>
        </w:rPr>
        <w:t>1</w:t>
      </w:r>
      <w:r w:rsidRPr="00DB3ECF">
        <w:rPr>
          <w:b/>
          <w:bCs/>
        </w:rPr>
        <w:t>: UE performs individual estimation, considering satellite’s ephemeris, cell reference location and its own location to enable location-based reselections in Earth-moving scenario.</w:t>
      </w:r>
    </w:p>
    <w:p w14:paraId="5F6851CB" w14:textId="77777777" w:rsidR="00AA2448" w:rsidRDefault="00AA2448" w:rsidP="00AA2448">
      <w:pPr>
        <w:jc w:val="both"/>
      </w:pPr>
      <w:r>
        <w:t>Similar actions are needed for applying time in cell reselections when Earth-moving NTN scenario is considered. Earth-moving cell may broadcast t-Service, which will be valid for a particular location on Earth. The UE may use such knowledge to compute its own, adjusted t-Service, assuming such IDLE UE is simultaneously capable of assessing its geographical coordinates.</w:t>
      </w:r>
    </w:p>
    <w:p w14:paraId="4016C2D8" w14:textId="60CD043B" w:rsidR="00AA2448" w:rsidRPr="00FB2ADC" w:rsidRDefault="00AA2448" w:rsidP="00AA2448">
      <w:pPr>
        <w:jc w:val="both"/>
        <w:rPr>
          <w:b/>
          <w:bCs/>
        </w:rPr>
      </w:pPr>
      <w:r w:rsidRPr="00FB2ADC">
        <w:rPr>
          <w:b/>
          <w:bCs/>
        </w:rPr>
        <w:t xml:space="preserve">Proposal </w:t>
      </w:r>
      <w:r>
        <w:rPr>
          <w:b/>
          <w:bCs/>
        </w:rPr>
        <w:t>2</w:t>
      </w:r>
      <w:r w:rsidRPr="00FB2ADC">
        <w:rPr>
          <w:b/>
          <w:bCs/>
        </w:rPr>
        <w:t xml:space="preserve">: To enable time-based reselections in Earth-moving scenario, the IDLE UE is capable of computing its own location to adjust t-Service provided in SIB19. </w:t>
      </w:r>
    </w:p>
    <w:p w14:paraId="69A3B278" w14:textId="48A3ABC7" w:rsidR="00CC62DF" w:rsidRDefault="00AA2448" w:rsidP="00AA2448">
      <w:pPr>
        <w:jc w:val="both"/>
      </w:pPr>
      <w:r w:rsidRPr="00AA2448">
        <w:t>One of comments raised at RAN2#119</w:t>
      </w:r>
      <w:r>
        <w:t xml:space="preserve"> indicated such assistance information for the UE does not have to be broadcast, but can be provided via dedicated signalling (see </w:t>
      </w:r>
      <w:r>
        <w:fldChar w:fldCharType="begin"/>
      </w:r>
      <w:r>
        <w:instrText xml:space="preserve"> REF _Ref113965849 \r \h </w:instrText>
      </w:r>
      <w:r>
        <w:fldChar w:fldCharType="separate"/>
      </w:r>
      <w:r>
        <w:t>[2]</w:t>
      </w:r>
      <w:r>
        <w:fldChar w:fldCharType="end"/>
      </w:r>
      <w:r>
        <w:t>).</w:t>
      </w:r>
      <w:r w:rsidR="00695D1A">
        <w:t xml:space="preserve"> Dedicated signalling is UE-specific and as we consider here the IDLE mode scenario, such information can be provided </w:t>
      </w:r>
      <w:r w:rsidR="0062416E">
        <w:t xml:space="preserve">only </w:t>
      </w:r>
      <w:r w:rsidR="00695D1A">
        <w:t>in RRC Release message (when</w:t>
      </w:r>
      <w:r w:rsidR="00CC62DF">
        <w:t xml:space="preserve"> moving the UE from CONNECTED to IDLE). Some assistance information can be included there, but difficult to assume the NW will be able to adjust such cell-specific configuration for each particular UE. For such cases system information is a better choice.</w:t>
      </w:r>
    </w:p>
    <w:p w14:paraId="0C312999" w14:textId="232D099B" w:rsidR="00AA2448" w:rsidRPr="0062416E" w:rsidRDefault="00CC62DF" w:rsidP="00AA2448">
      <w:pPr>
        <w:jc w:val="both"/>
        <w:rPr>
          <w:b/>
          <w:bCs/>
        </w:rPr>
      </w:pPr>
      <w:r w:rsidRPr="0062416E">
        <w:rPr>
          <w:b/>
          <w:bCs/>
        </w:rPr>
        <w:t xml:space="preserve">Observation 3: </w:t>
      </w:r>
      <w:r w:rsidR="0062416E" w:rsidRPr="0062416E">
        <w:rPr>
          <w:b/>
          <w:bCs/>
        </w:rPr>
        <w:t>Using RRC Release for providing assistance information</w:t>
      </w:r>
      <w:r w:rsidRPr="0062416E">
        <w:rPr>
          <w:b/>
          <w:bCs/>
        </w:rPr>
        <w:t xml:space="preserve"> </w:t>
      </w:r>
      <w:r w:rsidR="0062416E" w:rsidRPr="0062416E">
        <w:rPr>
          <w:b/>
          <w:bCs/>
        </w:rPr>
        <w:t xml:space="preserve">for </w:t>
      </w:r>
      <w:r w:rsidR="003E3E87">
        <w:rPr>
          <w:b/>
          <w:bCs/>
        </w:rPr>
        <w:t xml:space="preserve">intra-NTN </w:t>
      </w:r>
      <w:r w:rsidR="0062416E" w:rsidRPr="0062416E">
        <w:rPr>
          <w:b/>
          <w:bCs/>
        </w:rPr>
        <w:t>cell reselection is possible, but not optimal (as the configuration is cell-specific).</w:t>
      </w:r>
    </w:p>
    <w:p w14:paraId="2186EAC5" w14:textId="6DC9AEF2" w:rsidR="0062416E" w:rsidRDefault="0062416E" w:rsidP="00AA2448">
      <w:pPr>
        <w:jc w:val="both"/>
        <w:rPr>
          <w:b/>
          <w:bCs/>
        </w:rPr>
      </w:pPr>
      <w:r w:rsidRPr="191F6B52">
        <w:rPr>
          <w:b/>
          <w:bCs/>
        </w:rPr>
        <w:t xml:space="preserve">Proposal 3: System information is the basic means for providing necessary parameters to assist the NTN UE in </w:t>
      </w:r>
      <w:r w:rsidR="003E3E87">
        <w:rPr>
          <w:b/>
          <w:bCs/>
        </w:rPr>
        <w:t>intra-</w:t>
      </w:r>
      <w:r w:rsidR="00737667">
        <w:rPr>
          <w:b/>
          <w:bCs/>
        </w:rPr>
        <w:t>N</w:t>
      </w:r>
      <w:r w:rsidR="003E3E87">
        <w:rPr>
          <w:b/>
          <w:bCs/>
        </w:rPr>
        <w:t xml:space="preserve">TN </w:t>
      </w:r>
      <w:r w:rsidRPr="191F6B52">
        <w:rPr>
          <w:b/>
          <w:bCs/>
        </w:rPr>
        <w:t>cell reselection process.</w:t>
      </w:r>
    </w:p>
    <w:p w14:paraId="39ACBC23" w14:textId="45AF49C0" w:rsidR="009B02D6" w:rsidRDefault="009B02D6" w:rsidP="007E7903">
      <w:pPr>
        <w:pStyle w:val="Heading2"/>
      </w:pPr>
      <w:r>
        <w:t xml:space="preserve">2.2 </w:t>
      </w:r>
      <w:r w:rsidR="00A935CA">
        <w:tab/>
      </w:r>
      <w:r>
        <w:t>TN – NTN scenario</w:t>
      </w:r>
    </w:p>
    <w:p w14:paraId="19FB27CB" w14:textId="632A6663" w:rsidR="00E82CE0" w:rsidRDefault="0058129A" w:rsidP="00AA2448">
      <w:pPr>
        <w:jc w:val="both"/>
      </w:pPr>
      <w:r w:rsidRPr="007E7903">
        <w:t>A second aspect</w:t>
      </w:r>
      <w:r>
        <w:t xml:space="preserve"> to be addressed is</w:t>
      </w:r>
      <w:r w:rsidR="001D43A0">
        <w:t xml:space="preserve"> the cell reselection between TN and NTN</w:t>
      </w:r>
      <w:r w:rsidR="009148AD">
        <w:t>.</w:t>
      </w:r>
      <w:r w:rsidR="002E4135">
        <w:t xml:space="preserve"> </w:t>
      </w:r>
      <w:r w:rsidR="00113222">
        <w:t xml:space="preserve">In the previous RAN2 discussions during for NTN </w:t>
      </w:r>
      <w:proofErr w:type="spellStart"/>
      <w:r w:rsidR="00113222">
        <w:t>Rel</w:t>
      </w:r>
      <w:proofErr w:type="spellEnd"/>
      <w:r w:rsidR="00113222">
        <w:t xml:space="preserve"> 17 it has been recognised that</w:t>
      </w:r>
      <w:r w:rsidR="00795ABB">
        <w:t xml:space="preserve"> in a scenario with UE which is </w:t>
      </w:r>
      <w:r w:rsidR="00022603">
        <w:t>about to move out from</w:t>
      </w:r>
      <w:r w:rsidR="00AA2402">
        <w:t xml:space="preserve"> TN coverage</w:t>
      </w:r>
      <w:r w:rsidR="007815C5">
        <w:t>, it would be beneficial to start searching for NTN cells</w:t>
      </w:r>
      <w:r w:rsidR="00F86A92">
        <w:t xml:space="preserve"> only when needed</w:t>
      </w:r>
      <w:r w:rsidR="002D3883">
        <w:t xml:space="preserve">. Vice versa, a UE under NTN coverage </w:t>
      </w:r>
      <w:r w:rsidR="0056151A">
        <w:t xml:space="preserve">could </w:t>
      </w:r>
      <w:r w:rsidR="00763571">
        <w:t xml:space="preserve">benefit from </w:t>
      </w:r>
      <w:r w:rsidR="00615825">
        <w:t xml:space="preserve">re-selecting to </w:t>
      </w:r>
      <w:r w:rsidR="00763571">
        <w:t>a T</w:t>
      </w:r>
      <w:r w:rsidR="00320086">
        <w:t>N</w:t>
      </w:r>
      <w:r w:rsidR="00763571">
        <w:t xml:space="preserve"> cell </w:t>
      </w:r>
      <w:r w:rsidR="007A3BE1">
        <w:t>when</w:t>
      </w:r>
      <w:r w:rsidR="00996FBA">
        <w:t xml:space="preserve"> </w:t>
      </w:r>
      <w:r w:rsidR="00615825">
        <w:t xml:space="preserve">the UE </w:t>
      </w:r>
      <w:r w:rsidR="00996FBA">
        <w:t xml:space="preserve">is located close enough to the TN coverage area. In both scenarios, </w:t>
      </w:r>
      <w:r w:rsidR="0011354D">
        <w:t xml:space="preserve">the </w:t>
      </w:r>
      <w:r w:rsidR="00996FBA">
        <w:t>unnecessary</w:t>
      </w:r>
      <w:r w:rsidR="00E87520">
        <w:t xml:space="preserve"> UE</w:t>
      </w:r>
      <w:r w:rsidR="00996FBA">
        <w:t xml:space="preserve"> cell search</w:t>
      </w:r>
      <w:r w:rsidR="00C57F57">
        <w:t xml:space="preserve"> </w:t>
      </w:r>
      <w:r w:rsidR="00E87520">
        <w:t xml:space="preserve">(for TN or NTN) </w:t>
      </w:r>
      <w:r w:rsidR="00C57F57">
        <w:t>should be avoided</w:t>
      </w:r>
      <w:r w:rsidR="004F08A2">
        <w:t xml:space="preserve"> to minimize the UE power consumption.</w:t>
      </w:r>
    </w:p>
    <w:p w14:paraId="142AE52F" w14:textId="5F8EEB83" w:rsidR="005B2669" w:rsidRPr="007E7903" w:rsidRDefault="00E82CE0" w:rsidP="00AA2448">
      <w:pPr>
        <w:jc w:val="both"/>
        <w:rPr>
          <w:b/>
          <w:bCs/>
        </w:rPr>
      </w:pPr>
      <w:r w:rsidRPr="007E7903">
        <w:rPr>
          <w:b/>
          <w:bCs/>
        </w:rPr>
        <w:t xml:space="preserve">Observation 4: </w:t>
      </w:r>
      <w:r w:rsidR="004F5355" w:rsidRPr="007E7903">
        <w:rPr>
          <w:b/>
          <w:bCs/>
        </w:rPr>
        <w:t>It is</w:t>
      </w:r>
      <w:r w:rsidR="006E3F74" w:rsidRPr="007E7903">
        <w:rPr>
          <w:b/>
          <w:bCs/>
        </w:rPr>
        <w:t xml:space="preserve"> beneficial</w:t>
      </w:r>
      <w:r w:rsidR="00206169" w:rsidRPr="007E7903">
        <w:rPr>
          <w:b/>
          <w:bCs/>
        </w:rPr>
        <w:t xml:space="preserve"> for the power saving purposes</w:t>
      </w:r>
      <w:r w:rsidR="006E3F74" w:rsidRPr="007E7903">
        <w:rPr>
          <w:b/>
          <w:bCs/>
        </w:rPr>
        <w:t xml:space="preserve"> </w:t>
      </w:r>
      <w:r w:rsidR="00206169" w:rsidRPr="007E7903">
        <w:rPr>
          <w:b/>
          <w:bCs/>
        </w:rPr>
        <w:t>if the UE can measure for NTN or TN</w:t>
      </w:r>
      <w:r w:rsidR="00BE08B0" w:rsidRPr="007E7903">
        <w:rPr>
          <w:b/>
          <w:bCs/>
        </w:rPr>
        <w:t xml:space="preserve"> </w:t>
      </w:r>
      <w:r w:rsidR="00206169" w:rsidRPr="007E7903">
        <w:rPr>
          <w:b/>
          <w:bCs/>
        </w:rPr>
        <w:t>covera</w:t>
      </w:r>
      <w:r w:rsidR="00BE08B0" w:rsidRPr="007E7903">
        <w:rPr>
          <w:b/>
          <w:bCs/>
        </w:rPr>
        <w:t>ge only when relevant.</w:t>
      </w:r>
      <w:r w:rsidR="000B616B" w:rsidRPr="007E7903">
        <w:rPr>
          <w:b/>
          <w:bCs/>
        </w:rPr>
        <w:t xml:space="preserve"> </w:t>
      </w:r>
    </w:p>
    <w:p w14:paraId="72E343A4" w14:textId="46751171" w:rsidR="0062416E" w:rsidRDefault="000B616B" w:rsidP="00AA2448">
      <w:pPr>
        <w:jc w:val="both"/>
      </w:pPr>
      <w:r>
        <w:t xml:space="preserve">One possible </w:t>
      </w:r>
      <w:r w:rsidR="00835F8A">
        <w:t>solution is to provide assistance information to the UEs</w:t>
      </w:r>
      <w:r w:rsidR="00F1195B">
        <w:t xml:space="preserve">. </w:t>
      </w:r>
      <w:r w:rsidR="00DE7D81">
        <w:t>In the simplest form,</w:t>
      </w:r>
      <w:r w:rsidR="00F1195B">
        <w:t xml:space="preserve"> </w:t>
      </w:r>
      <w:r w:rsidR="00E81116">
        <w:t>this</w:t>
      </w:r>
      <w:r w:rsidR="00F1195B">
        <w:t xml:space="preserve"> assistance information</w:t>
      </w:r>
      <w:r w:rsidR="00835F8A">
        <w:t xml:space="preserve"> </w:t>
      </w:r>
      <w:r w:rsidR="00E81116">
        <w:t>is broadcasted</w:t>
      </w:r>
      <w:r w:rsidR="000310F9">
        <w:t xml:space="preserve"> in the</w:t>
      </w:r>
      <w:r w:rsidR="00C53C27">
        <w:t xml:space="preserve"> </w:t>
      </w:r>
      <w:r w:rsidR="00A07E3C">
        <w:t xml:space="preserve">camping </w:t>
      </w:r>
      <w:r w:rsidR="00C53C27">
        <w:t>TN cell</w:t>
      </w:r>
      <w:r w:rsidR="00A07E3C">
        <w:t xml:space="preserve"> for the purpose of reselecting to NTN</w:t>
      </w:r>
      <w:r w:rsidR="00C53C27">
        <w:t xml:space="preserve"> cells</w:t>
      </w:r>
      <w:r w:rsidR="00A07E3C">
        <w:t>, or in the camping NTN cell</w:t>
      </w:r>
      <w:r w:rsidR="004800DB">
        <w:t xml:space="preserve"> for the purpose of </w:t>
      </w:r>
      <w:r w:rsidR="00DA5200">
        <w:t>reselecting</w:t>
      </w:r>
      <w:r w:rsidR="004800DB">
        <w:t xml:space="preserve"> to TN cell</w:t>
      </w:r>
      <w:r w:rsidR="00DA5200">
        <w:t>s</w:t>
      </w:r>
      <w:r w:rsidR="00874CA5">
        <w:t>.</w:t>
      </w:r>
    </w:p>
    <w:p w14:paraId="464A6FE1" w14:textId="1D729B3C" w:rsidR="00FF7E85" w:rsidRDefault="00915C80" w:rsidP="00AA2448">
      <w:pPr>
        <w:jc w:val="both"/>
      </w:pPr>
      <w:r>
        <w:t xml:space="preserve">The assistance information from the camping TN cell could be based on </w:t>
      </w:r>
      <w:r w:rsidR="008C7AA8">
        <w:t xml:space="preserve">the </w:t>
      </w:r>
      <w:r>
        <w:t>det</w:t>
      </w:r>
      <w:r w:rsidR="00584704">
        <w:t xml:space="preserve">ection of NTN </w:t>
      </w:r>
      <w:r w:rsidR="003F72B6">
        <w:t xml:space="preserve">radio </w:t>
      </w:r>
      <w:r w:rsidR="00584704">
        <w:t>coverage</w:t>
      </w:r>
      <w:r w:rsidR="00EA542A">
        <w:t xml:space="preserve"> by </w:t>
      </w:r>
      <w:r w:rsidR="00CB12F3">
        <w:t xml:space="preserve">TN in </w:t>
      </w:r>
      <w:r w:rsidR="00EA542A">
        <w:t xml:space="preserve">certain </w:t>
      </w:r>
      <w:r w:rsidR="000006CB">
        <w:t>relevant</w:t>
      </w:r>
      <w:r w:rsidR="00EA542A">
        <w:t xml:space="preserve">/selected </w:t>
      </w:r>
      <w:r w:rsidR="00CB12F3">
        <w:t>network area</w:t>
      </w:r>
      <w:r w:rsidR="009C4965">
        <w:t>.</w:t>
      </w:r>
      <w:r w:rsidR="00015900">
        <w:t xml:space="preserve"> </w:t>
      </w:r>
      <w:r w:rsidR="009C4965">
        <w:t>For example</w:t>
      </w:r>
      <w:r w:rsidR="00015900">
        <w:t>, the detection of NTN coverage can be based on simple transmission energy detection and/or reception</w:t>
      </w:r>
      <w:r w:rsidR="007B3C79">
        <w:t>/decoding</w:t>
      </w:r>
      <w:r w:rsidR="00015900">
        <w:t xml:space="preserve"> of the NTN SIB </w:t>
      </w:r>
      <w:r w:rsidR="007B3C79">
        <w:t>transmission</w:t>
      </w:r>
      <w:r w:rsidR="006040C8">
        <w:t>.</w:t>
      </w:r>
      <w:r w:rsidR="00E7176A">
        <w:t xml:space="preserve"> </w:t>
      </w:r>
    </w:p>
    <w:p w14:paraId="35FF9582" w14:textId="6F29C545" w:rsidR="00593D23" w:rsidRPr="007E7903" w:rsidRDefault="00593D23" w:rsidP="00AA2448">
      <w:pPr>
        <w:jc w:val="both"/>
        <w:rPr>
          <w:b/>
          <w:bCs/>
        </w:rPr>
      </w:pPr>
      <w:r w:rsidRPr="007E7903">
        <w:rPr>
          <w:b/>
          <w:bCs/>
        </w:rPr>
        <w:t xml:space="preserve">Proposal 4: RAN2 </w:t>
      </w:r>
      <w:r w:rsidR="004E21A7" w:rsidRPr="007E7903">
        <w:rPr>
          <w:b/>
          <w:bCs/>
        </w:rPr>
        <w:t>is asked to consider</w:t>
      </w:r>
      <w:r w:rsidR="00CD5EE7" w:rsidRPr="007E7903">
        <w:rPr>
          <w:b/>
          <w:bCs/>
        </w:rPr>
        <w:t xml:space="preserve"> the method o</w:t>
      </w:r>
      <w:r w:rsidR="005238C0" w:rsidRPr="007E7903">
        <w:rPr>
          <w:b/>
          <w:bCs/>
        </w:rPr>
        <w:t xml:space="preserve">f </w:t>
      </w:r>
      <w:r w:rsidR="00304B7A" w:rsidRPr="007E7903">
        <w:rPr>
          <w:b/>
          <w:bCs/>
        </w:rPr>
        <w:t xml:space="preserve">detecting the </w:t>
      </w:r>
      <w:r w:rsidR="002B0A93" w:rsidRPr="007E7903">
        <w:rPr>
          <w:b/>
          <w:bCs/>
        </w:rPr>
        <w:t xml:space="preserve">transmission </w:t>
      </w:r>
      <w:r w:rsidR="00304B7A" w:rsidRPr="007E7903">
        <w:rPr>
          <w:b/>
          <w:bCs/>
        </w:rPr>
        <w:t>energy</w:t>
      </w:r>
      <w:r w:rsidR="00607803" w:rsidRPr="007E7903">
        <w:rPr>
          <w:b/>
          <w:bCs/>
        </w:rPr>
        <w:t xml:space="preserve"> or SIB presence to determine the NTN coverage.</w:t>
      </w:r>
    </w:p>
    <w:p w14:paraId="6AE9969C" w14:textId="6CA6C286" w:rsidR="00915C80" w:rsidRPr="007E7903" w:rsidRDefault="00B92592" w:rsidP="00AA2448">
      <w:pPr>
        <w:jc w:val="both"/>
      </w:pPr>
      <w:r>
        <w:t xml:space="preserve">The assistance information from the NTN cell could be based on information about the location of the </w:t>
      </w:r>
      <w:r w:rsidR="009D231E">
        <w:t>relevant TN cells</w:t>
      </w:r>
      <w:r w:rsidR="009C4965">
        <w:t>. For example, the NTN cell can</w:t>
      </w:r>
      <w:r w:rsidR="005C253D">
        <w:t xml:space="preserve"> </w:t>
      </w:r>
      <w:r w:rsidR="00FF7E85">
        <w:t>broadcast</w:t>
      </w:r>
      <w:r w:rsidR="005C253D">
        <w:t xml:space="preserve"> one or more </w:t>
      </w:r>
      <w:proofErr w:type="spellStart"/>
      <w:r w:rsidR="005C253D" w:rsidRPr="007E7903">
        <w:rPr>
          <w:i/>
          <w:iCs/>
        </w:rPr>
        <w:t>distanceThresh</w:t>
      </w:r>
      <w:proofErr w:type="spellEnd"/>
      <w:r w:rsidR="00C73160" w:rsidRPr="007E7903">
        <w:t xml:space="preserve"> values</w:t>
      </w:r>
      <w:r w:rsidR="00980004">
        <w:t xml:space="preserve"> </w:t>
      </w:r>
      <w:r w:rsidR="00FE2E05">
        <w:t xml:space="preserve">corresponding to relevant TN cells, </w:t>
      </w:r>
      <w:r w:rsidR="00980004">
        <w:t>to indicate</w:t>
      </w:r>
      <w:r w:rsidR="00E449B0">
        <w:t xml:space="preserve"> </w:t>
      </w:r>
      <w:r w:rsidR="00FF7E85">
        <w:t>to the NTN UEs</w:t>
      </w:r>
      <w:r w:rsidR="00FE2E05">
        <w:t xml:space="preserve"> </w:t>
      </w:r>
      <w:r w:rsidR="00D55B20">
        <w:t>at which locations</w:t>
      </w:r>
      <w:r w:rsidR="00FE2E05">
        <w:t xml:space="preserve"> they should start searching for TN cells.</w:t>
      </w:r>
      <w:r w:rsidR="006040C8">
        <w:t xml:space="preserve"> Another alternative is</w:t>
      </w:r>
      <w:r w:rsidR="00F14076">
        <w:t xml:space="preserve"> to use </w:t>
      </w:r>
      <w:r w:rsidR="00263421">
        <w:t>at the NTN side</w:t>
      </w:r>
      <w:r w:rsidR="00F14076">
        <w:t xml:space="preserve"> additional information received from the TN in the relevant area</w:t>
      </w:r>
      <w:r w:rsidR="00263421">
        <w:t>, e.g. based on the detection of NTN radio coverage by TN</w:t>
      </w:r>
      <w:r w:rsidR="00C43CD4">
        <w:t xml:space="preserve"> as above.</w:t>
      </w:r>
    </w:p>
    <w:p w14:paraId="4535FEE9" w14:textId="78CF65B9" w:rsidR="009E16F4" w:rsidRPr="0062416E" w:rsidRDefault="00672C94" w:rsidP="00AA2448">
      <w:pPr>
        <w:jc w:val="both"/>
        <w:rPr>
          <w:b/>
          <w:bCs/>
        </w:rPr>
      </w:pPr>
      <w:r>
        <w:rPr>
          <w:b/>
          <w:bCs/>
        </w:rPr>
        <w:t xml:space="preserve">Proposal 5: RAN2 is asked to consider the method </w:t>
      </w:r>
      <w:r w:rsidR="00E97A25">
        <w:rPr>
          <w:b/>
          <w:bCs/>
        </w:rPr>
        <w:t xml:space="preserve">where System Information provides a location-related indication where the search for TN coverage shall be initiated. </w:t>
      </w:r>
    </w:p>
    <w:p w14:paraId="710AE726" w14:textId="7623B5DC" w:rsidR="00397B3C" w:rsidRPr="00A72D48" w:rsidRDefault="003E605E" w:rsidP="00A72D48">
      <w:pPr>
        <w:pStyle w:val="Heading1"/>
        <w:jc w:val="both"/>
      </w:pPr>
      <w:r>
        <w:t>3</w:t>
      </w:r>
      <w:r>
        <w:tab/>
      </w:r>
      <w:r w:rsidR="0068324E">
        <w:t>CONNECTED mode</w:t>
      </w:r>
    </w:p>
    <w:p w14:paraId="16FD41E3" w14:textId="07367DBA" w:rsidR="00442B5D" w:rsidRDefault="00442B5D" w:rsidP="00A85FF5">
      <w:pPr>
        <w:jc w:val="both"/>
      </w:pPr>
      <w:r>
        <w:t>In this section our aim is to cover the following</w:t>
      </w:r>
      <w:r w:rsidR="008300E4">
        <w:t xml:space="preserve"> objective </w:t>
      </w:r>
      <w:r w:rsidR="008300E4">
        <w:fldChar w:fldCharType="begin"/>
      </w:r>
      <w:r w:rsidR="008300E4">
        <w:instrText xml:space="preserve"> REF _Ref109128637 \r \h </w:instrText>
      </w:r>
      <w:r w:rsidR="00B91B86">
        <w:instrText xml:space="preserve"> \* MERGEFORMAT </w:instrText>
      </w:r>
      <w:r w:rsidR="008300E4">
        <w:fldChar w:fldCharType="separate"/>
      </w:r>
      <w:r w:rsidR="008300E4">
        <w:t>[1]</w:t>
      </w:r>
      <w:r w:rsidR="008300E4">
        <w:fldChar w:fldCharType="end"/>
      </w:r>
      <w:r w:rsidR="008300E4">
        <w:t>:</w:t>
      </w:r>
    </w:p>
    <w:tbl>
      <w:tblPr>
        <w:tblStyle w:val="TableGrid"/>
        <w:tblW w:w="0" w:type="auto"/>
        <w:tblLook w:val="04A0" w:firstRow="1" w:lastRow="0" w:firstColumn="1" w:lastColumn="0" w:noHBand="0" w:noVBand="1"/>
      </w:tblPr>
      <w:tblGrid>
        <w:gridCol w:w="9631"/>
      </w:tblGrid>
      <w:tr w:rsidR="00D21567" w14:paraId="68E8FE03" w14:textId="77777777" w:rsidTr="00653757">
        <w:tc>
          <w:tcPr>
            <w:tcW w:w="9631" w:type="dxa"/>
          </w:tcPr>
          <w:p w14:paraId="21482CBC" w14:textId="77777777" w:rsidR="00D21567" w:rsidRDefault="00D21567" w:rsidP="00653757">
            <w:pPr>
              <w:jc w:val="both"/>
            </w:pPr>
            <w:r w:rsidRPr="008300E4">
              <w:t>•</w:t>
            </w:r>
            <w:r w:rsidRPr="008300E4">
              <w:tab/>
              <w:t>Specify NTN-NTN handover enhancement for RRC_CONNECTED UEs in the quasi-earth-fixed cell and earth-moving cell to reduce the signalling overhead. [RAN2, RAN3]</w:t>
            </w:r>
          </w:p>
        </w:tc>
      </w:tr>
    </w:tbl>
    <w:p w14:paraId="24BCC25B" w14:textId="0AAB0ED7" w:rsidR="00D21567" w:rsidRDefault="00D21567" w:rsidP="00D21567">
      <w:pPr>
        <w:spacing w:after="0"/>
      </w:pPr>
      <w:r>
        <w:br/>
        <w:t>In the following subsections we consider various problems for NTN handover management.</w:t>
      </w:r>
    </w:p>
    <w:p w14:paraId="67DC5DEA" w14:textId="6D3F6490" w:rsidR="0062416E" w:rsidRDefault="0062416E" w:rsidP="0062416E">
      <w:pPr>
        <w:pStyle w:val="Heading2"/>
        <w:jc w:val="both"/>
      </w:pPr>
      <w:r>
        <w:t xml:space="preserve">3.1 </w:t>
      </w:r>
      <w:r>
        <w:tab/>
        <w:t>Series of CHOs</w:t>
      </w:r>
    </w:p>
    <w:p w14:paraId="12DE680A" w14:textId="37B13ED3" w:rsidR="00B1790B" w:rsidRDefault="00D70966" w:rsidP="00A85FF5">
      <w:pPr>
        <w:keepNext/>
        <w:jc w:val="both"/>
      </w:pPr>
      <w:r>
        <w:t xml:space="preserve">One of the </w:t>
      </w:r>
      <w:r w:rsidR="00606BC6">
        <w:t xml:space="preserve">techniques to minimize the signalling overhead </w:t>
      </w:r>
      <w:r w:rsidR="00F41B17">
        <w:t xml:space="preserve">associated with handover is </w:t>
      </w:r>
      <w:r w:rsidR="008953C0">
        <w:t>to allow</w:t>
      </w:r>
      <w:r w:rsidR="00B64607">
        <w:t xml:space="preserve"> keeping CHO commands after HO execution.</w:t>
      </w:r>
      <w:r w:rsidR="009A0C7F">
        <w:t xml:space="preserve"> This has been </w:t>
      </w:r>
      <w:r w:rsidR="00A047AB">
        <w:t xml:space="preserve">considered in various papers submitted to Rel-17 NTN work item, e.g. in </w:t>
      </w:r>
      <w:r w:rsidR="00F83C54">
        <w:fldChar w:fldCharType="begin"/>
      </w:r>
      <w:r w:rsidR="00F83C54">
        <w:instrText xml:space="preserve"> REF _Ref109809279 \r \h </w:instrText>
      </w:r>
      <w:r w:rsidR="00B91B86">
        <w:instrText xml:space="preserve"> \* MERGEFORMAT </w:instrText>
      </w:r>
      <w:r w:rsidR="00F83C54">
        <w:fldChar w:fldCharType="separate"/>
      </w:r>
      <w:r w:rsidR="00F83C54">
        <w:t>[3]</w:t>
      </w:r>
      <w:r w:rsidR="00F83C54">
        <w:fldChar w:fldCharType="end"/>
      </w:r>
      <w:r w:rsidR="00A047AB">
        <w:t>.</w:t>
      </w:r>
      <w:r w:rsidR="008A4763">
        <w:t xml:space="preserve"> </w:t>
      </w:r>
      <w:r w:rsidR="00ED2D3E">
        <w:t>As i</w:t>
      </w:r>
      <w:r w:rsidR="008A4763" w:rsidRPr="008A4763">
        <w:t>n NTN scenario the sequence of next serving cells can be predicted with high probability (assuming the UE does not move significantly, compared to the satellite coverage), we see some value in preparing the UE for multiple cell hops in advance.</w:t>
      </w:r>
      <w:r w:rsidR="00A07083">
        <w:t xml:space="preserve"> </w:t>
      </w:r>
      <w:r w:rsidR="00A07083" w:rsidRPr="00A07083">
        <w:t xml:space="preserve">As </w:t>
      </w:r>
      <w:r w:rsidR="00A07083" w:rsidRPr="00A85FF5">
        <w:t xml:space="preserve">shown in Fig. </w:t>
      </w:r>
      <w:r w:rsidR="005508FD" w:rsidRPr="00A85FF5">
        <w:t>1</w:t>
      </w:r>
      <w:r w:rsidR="00A07083" w:rsidRPr="00A85FF5">
        <w:t xml:space="preserve"> a</w:t>
      </w:r>
      <w:r w:rsidR="00A07083" w:rsidRPr="00A07083">
        <w:t xml:space="preserve"> single satellite may provide coverage of several cells. UE is relatively static, at least compared to the velocity of the satellite, so it is quite likely the UE will be served by cell B directly after being served by cell A</w:t>
      </w:r>
      <w:r w:rsidR="00935D71">
        <w:t>.</w:t>
      </w:r>
      <w:r w:rsidR="00935D71" w:rsidRPr="00D47C67">
        <w:rPr>
          <w:b/>
          <w:bCs/>
          <w:noProof/>
        </w:rPr>
        <w:drawing>
          <wp:inline distT="0" distB="0" distL="0" distR="0" wp14:anchorId="6BB34A47" wp14:editId="58356759">
            <wp:extent cx="3335020" cy="1889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5020" cy="1889760"/>
                    </a:xfrm>
                    <a:prstGeom prst="rect">
                      <a:avLst/>
                    </a:prstGeom>
                    <a:noFill/>
                  </pic:spPr>
                </pic:pic>
              </a:graphicData>
            </a:graphic>
          </wp:inline>
        </w:drawing>
      </w:r>
    </w:p>
    <w:p w14:paraId="6B8319E8" w14:textId="5BE43C58" w:rsidR="00935D71" w:rsidRDefault="00B1790B" w:rsidP="00A85FF5">
      <w:pPr>
        <w:pStyle w:val="Caption"/>
        <w:jc w:val="both"/>
      </w:pPr>
      <w:r>
        <w:t xml:space="preserve">Fig. </w:t>
      </w:r>
      <w:r>
        <w:fldChar w:fldCharType="begin"/>
      </w:r>
      <w:r>
        <w:instrText>SEQ Figure \* ARABIC</w:instrText>
      </w:r>
      <w:r>
        <w:fldChar w:fldCharType="separate"/>
      </w:r>
      <w:r>
        <w:rPr>
          <w:noProof/>
        </w:rPr>
        <w:t>1</w:t>
      </w:r>
      <w:r>
        <w:fldChar w:fldCharType="end"/>
      </w:r>
      <w:r w:rsidR="002E06BF">
        <w:t xml:space="preserve">: </w:t>
      </w:r>
      <w:r w:rsidRPr="00582B32">
        <w:t>Current serving and next prepared cells in the chain of CHOs</w:t>
      </w:r>
    </w:p>
    <w:p w14:paraId="6307F42C" w14:textId="2388252F" w:rsidR="003C6F11" w:rsidRDefault="003C6F11" w:rsidP="00A85FF5">
      <w:pPr>
        <w:jc w:val="both"/>
      </w:pPr>
      <w:r>
        <w:t>In such case, it would make sense if the UE is provided in advance with the cell-specific resources/configurations for one or more next serving cells. Such set of configurations can be also equipped with time validity, in order not to reserve too many resources on the network side much earlier than needed. The expected time of stay can be used for roughly assessing when each UE is expected to access subsequent CHO candidate cells.</w:t>
      </w:r>
    </w:p>
    <w:p w14:paraId="432F22DC" w14:textId="5481715C" w:rsidR="003C6F11" w:rsidRPr="00A779E0" w:rsidRDefault="001012C2" w:rsidP="00A85FF5">
      <w:pPr>
        <w:jc w:val="both"/>
        <w:rPr>
          <w:b/>
          <w:bCs/>
        </w:rPr>
      </w:pPr>
      <w:r w:rsidRPr="00A779E0">
        <w:rPr>
          <w:b/>
          <w:bCs/>
        </w:rPr>
        <w:t>Observation</w:t>
      </w:r>
      <w:r w:rsidR="003C6F11" w:rsidRPr="00A779E0">
        <w:rPr>
          <w:b/>
          <w:bCs/>
        </w:rPr>
        <w:t xml:space="preserve"> </w:t>
      </w:r>
      <w:r w:rsidR="00676592">
        <w:rPr>
          <w:b/>
          <w:bCs/>
        </w:rPr>
        <w:t>5</w:t>
      </w:r>
      <w:r w:rsidR="003C6F11" w:rsidRPr="00A779E0">
        <w:rPr>
          <w:b/>
          <w:bCs/>
        </w:rPr>
        <w:t>: UE’s expected time of stay in the cell can be used for avoiding too early resource reservations.</w:t>
      </w:r>
    </w:p>
    <w:p w14:paraId="02593AD3" w14:textId="3F480C8D" w:rsidR="003C6F11" w:rsidRDefault="003C6F11" w:rsidP="00A85FF5">
      <w:pPr>
        <w:jc w:val="both"/>
      </w:pPr>
      <w:r>
        <w:t xml:space="preserve">When the UE accesses the next prepared cell (cell B in the example depicted in Fig. </w:t>
      </w:r>
      <w:r w:rsidR="00924C94">
        <w:t>1</w:t>
      </w:r>
      <w:r>
        <w:t xml:space="preserve">) it may inform the new serving cell of the presence of CHO chain configuration (e.g. in case the chain has not been properly propagated over the network nodes, including the UE’s unique identifier so that the subsequent cells are able to determine for which users the resources were reserved). That would allow the new serving cell to determine if the chain of CHO configurations is valid or the UE shall be perhaps reconfigured. </w:t>
      </w:r>
    </w:p>
    <w:p w14:paraId="34326F85" w14:textId="04E6B8CF" w:rsidR="003C6F11" w:rsidRPr="00A779E0" w:rsidRDefault="00924C94" w:rsidP="00A85FF5">
      <w:pPr>
        <w:jc w:val="both"/>
        <w:rPr>
          <w:b/>
          <w:bCs/>
        </w:rPr>
      </w:pPr>
      <w:r w:rsidRPr="00A779E0">
        <w:rPr>
          <w:b/>
          <w:bCs/>
        </w:rPr>
        <w:t xml:space="preserve">Observation </w:t>
      </w:r>
      <w:r w:rsidR="008A4AED">
        <w:rPr>
          <w:b/>
          <w:bCs/>
        </w:rPr>
        <w:t>6</w:t>
      </w:r>
      <w:r w:rsidR="003C6F11" w:rsidRPr="00A779E0">
        <w:rPr>
          <w:b/>
          <w:bCs/>
        </w:rPr>
        <w:t>: When accessing the new cell, UE may report it was configured with the chain of CHO configurations in one of the preceding cells.</w:t>
      </w:r>
    </w:p>
    <w:p w14:paraId="456C0758" w14:textId="6E6D4E71" w:rsidR="008300E4" w:rsidRDefault="000749F0" w:rsidP="00A85FF5">
      <w:pPr>
        <w:jc w:val="both"/>
      </w:pPr>
      <w:r>
        <w:t>W</w:t>
      </w:r>
      <w:r w:rsidR="003C6F11">
        <w:t xml:space="preserve">e feel this kind of approach is an attractive and efficient addition to NTN system. Thus, </w:t>
      </w:r>
      <w:r>
        <w:t>it</w:t>
      </w:r>
      <w:r w:rsidR="003C6F11">
        <w:t xml:space="preserve"> shall be seriously considered in Rel-18</w:t>
      </w:r>
      <w:r>
        <w:t xml:space="preserve"> NTN framework as a means to reduce the signalling overhead during the NTN-NTN mobility relying on CHO</w:t>
      </w:r>
      <w:r w:rsidR="003C6F11">
        <w:t>.</w:t>
      </w:r>
    </w:p>
    <w:p w14:paraId="7BCDA354" w14:textId="224C7D45" w:rsidR="000749F0" w:rsidRDefault="000749F0" w:rsidP="00A85FF5">
      <w:pPr>
        <w:jc w:val="both"/>
        <w:rPr>
          <w:b/>
          <w:bCs/>
        </w:rPr>
      </w:pPr>
      <w:r w:rsidRPr="00A779E0">
        <w:rPr>
          <w:b/>
          <w:bCs/>
        </w:rPr>
        <w:t xml:space="preserve">Proposal </w:t>
      </w:r>
      <w:r w:rsidR="008A4AED">
        <w:rPr>
          <w:b/>
          <w:bCs/>
        </w:rPr>
        <w:t>6</w:t>
      </w:r>
      <w:r w:rsidR="00854C75" w:rsidRPr="00A779E0">
        <w:rPr>
          <w:b/>
          <w:bCs/>
        </w:rPr>
        <w:t>: To reduce the signalling overhead during mobility a mechanism is introduced, where the UE can be provided with CHO configurations for cells beyond the next cell change (future candidate cells).</w:t>
      </w:r>
    </w:p>
    <w:p w14:paraId="3F31775D" w14:textId="1F647B23" w:rsidR="00D21567" w:rsidRPr="00A779E0" w:rsidRDefault="00D21567" w:rsidP="00D21567">
      <w:pPr>
        <w:pStyle w:val="Heading2"/>
      </w:pPr>
      <w:r>
        <w:t xml:space="preserve">3.2 </w:t>
      </w:r>
      <w:r>
        <w:tab/>
        <w:t xml:space="preserve">Maximize the </w:t>
      </w:r>
      <w:proofErr w:type="spellStart"/>
      <w:r>
        <w:t>ToS</w:t>
      </w:r>
      <w:proofErr w:type="spellEnd"/>
      <w:r>
        <w:t xml:space="preserve"> in the cell</w:t>
      </w:r>
    </w:p>
    <w:p w14:paraId="51D21CF0" w14:textId="77777777" w:rsidR="008B68B8" w:rsidRDefault="00FB7555" w:rsidP="00A85FF5">
      <w:pPr>
        <w:jc w:val="both"/>
      </w:pPr>
      <w:r>
        <w:t>In order to reduce the signalling it is important t</w:t>
      </w:r>
      <w:r w:rsidR="00DA516E">
        <w:t>o maximize the time of stay on the cell</w:t>
      </w:r>
      <w:r w:rsidR="00DE2B92">
        <w:t>/</w:t>
      </w:r>
      <w:r w:rsidR="00DA516E">
        <w:t>minimize the number of handover</w:t>
      </w:r>
      <w:r>
        <w:t xml:space="preserve">s. </w:t>
      </w:r>
      <w:r w:rsidR="00DF39D2">
        <w:t xml:space="preserve">This is especially challenging when the cells are moving (in addition to UE’s movement). </w:t>
      </w:r>
      <w:r w:rsidR="00A401CF">
        <w:t xml:space="preserve">During the Rel-17 discussions, it was underlined that in Earth-fixed scenario, the UE might </w:t>
      </w:r>
      <w:r w:rsidR="00AF3807">
        <w:t>re</w:t>
      </w:r>
      <w:r w:rsidR="00A401CF">
        <w:t xml:space="preserve">select or handover to a cell which </w:t>
      </w:r>
      <w:r w:rsidR="00A04E33">
        <w:t xml:space="preserve">has a larger </w:t>
      </w:r>
      <w:r w:rsidR="00A04E33" w:rsidRPr="00A04E33">
        <w:rPr>
          <w:i/>
          <w:iCs/>
        </w:rPr>
        <w:t>t-Service</w:t>
      </w:r>
      <w:r w:rsidR="00A04E33">
        <w:t xml:space="preserve"> (i.e. will provide coverage over certain area for a longer time).</w:t>
      </w:r>
    </w:p>
    <w:p w14:paraId="60E27B6C" w14:textId="6B6E9003" w:rsidR="00C979D4" w:rsidRPr="008B68B8" w:rsidRDefault="008B68B8" w:rsidP="00A85FF5">
      <w:pPr>
        <w:jc w:val="both"/>
        <w:rPr>
          <w:b/>
          <w:bCs/>
          <w:i/>
          <w:iCs/>
        </w:rPr>
      </w:pPr>
      <w:r w:rsidRPr="008B68B8">
        <w:rPr>
          <w:b/>
          <w:bCs/>
        </w:rPr>
        <w:t xml:space="preserve">Observation </w:t>
      </w:r>
      <w:r w:rsidR="008A4AED">
        <w:rPr>
          <w:b/>
          <w:bCs/>
        </w:rPr>
        <w:t>7</w:t>
      </w:r>
      <w:r w:rsidRPr="008B68B8">
        <w:rPr>
          <w:b/>
          <w:bCs/>
        </w:rPr>
        <w:t>: In Earth-fixed case, the UE may</w:t>
      </w:r>
      <w:r w:rsidR="00A401CF" w:rsidRPr="008B68B8">
        <w:rPr>
          <w:b/>
          <w:bCs/>
        </w:rPr>
        <w:t xml:space="preserve"> </w:t>
      </w:r>
      <w:r w:rsidRPr="008B68B8">
        <w:rPr>
          <w:b/>
          <w:bCs/>
        </w:rPr>
        <w:t xml:space="preserve">reselect or handover to a cell which has a larger </w:t>
      </w:r>
      <w:r w:rsidRPr="008B68B8">
        <w:rPr>
          <w:b/>
          <w:bCs/>
          <w:i/>
          <w:iCs/>
        </w:rPr>
        <w:t xml:space="preserve">t-Service. </w:t>
      </w:r>
    </w:p>
    <w:p w14:paraId="4D2405C5" w14:textId="0F0C48DE" w:rsidR="00EB726A" w:rsidRPr="00A85FF5" w:rsidRDefault="008B68B8" w:rsidP="00A85FF5">
      <w:pPr>
        <w:jc w:val="both"/>
      </w:pPr>
      <w:r>
        <w:t>However, in Earth-moving case the issue is not straightforward</w:t>
      </w:r>
      <w:r w:rsidR="00BE5935">
        <w:t xml:space="preserve"> to resolve</w:t>
      </w:r>
      <w:r w:rsidR="00F27B1D">
        <w:t>.</w:t>
      </w:r>
      <w:r w:rsidR="00207466">
        <w:t xml:space="preserve"> If the UE has a choice of multiple cells to which it can reselect (when in IDLE) or handover (when in CONNECTED), </w:t>
      </w:r>
      <w:r w:rsidR="0012456F">
        <w:t>it is</w:t>
      </w:r>
      <w:r w:rsidR="00DE3B76">
        <w:t xml:space="preserve"> desirable </w:t>
      </w:r>
      <w:r w:rsidR="00E81A9B">
        <w:t xml:space="preserve">for the UE </w:t>
      </w:r>
      <w:r w:rsidR="00DE3B76">
        <w:t xml:space="preserve">to </w:t>
      </w:r>
      <w:r w:rsidR="00DB1E5E">
        <w:t>choose a cell whose footprint is not about to disappear shortly after accessing that cell. But in order to be able to do it, the UE must know a bit about the cell layout</w:t>
      </w:r>
      <w:r w:rsidR="002F35F5">
        <w:t xml:space="preserve"> and how does it move with respect to UE’s current position.</w:t>
      </w:r>
      <w:r w:rsidR="00277436">
        <w:t xml:space="preserve"> This can be in the form of </w:t>
      </w:r>
      <w:r w:rsidR="00277436" w:rsidRPr="00277436">
        <w:t>partial/local cell layout data depending on the UE position/cell</w:t>
      </w:r>
      <w:r w:rsidR="00277436">
        <w:t>. Alternatively, the use</w:t>
      </w:r>
      <w:r w:rsidR="00277436" w:rsidRPr="00277436">
        <w:t xml:space="preserve"> of a pre-defined set of cell layouts (</w:t>
      </w:r>
      <w:r w:rsidR="004D3BCB">
        <w:t xml:space="preserve">partial </w:t>
      </w:r>
      <w:r w:rsidR="00277436" w:rsidRPr="00277436">
        <w:t>satellite footprint</w:t>
      </w:r>
      <w:r w:rsidR="007C2F23">
        <w:t>, in simplified form</w:t>
      </w:r>
      <w:r w:rsidR="00277436" w:rsidRPr="00277436">
        <w:t>)</w:t>
      </w:r>
      <w:r w:rsidR="00277436">
        <w:t xml:space="preserve"> can be considered. For example, </w:t>
      </w:r>
      <w:r w:rsidR="00EB726A" w:rsidRPr="007663A2">
        <w:t xml:space="preserve">this can be expressed </w:t>
      </w:r>
      <w:r w:rsidR="00277436" w:rsidRPr="007663A2">
        <w:t xml:space="preserve">as a list of the relative geometry/location of the beam </w:t>
      </w:r>
      <w:proofErr w:type="spellStart"/>
      <w:r w:rsidR="00277436" w:rsidRPr="007663A2">
        <w:t>centers</w:t>
      </w:r>
      <w:proofErr w:type="spellEnd"/>
      <w:r w:rsidR="00277436" w:rsidRPr="007663A2">
        <w:t xml:space="preserve"> on Earth</w:t>
      </w:r>
      <w:r w:rsidR="00EB726A" w:rsidRPr="007663A2">
        <w:t>. Other options are not precluded.</w:t>
      </w:r>
    </w:p>
    <w:p w14:paraId="5240A023" w14:textId="0B97BC07" w:rsidR="00C979D4" w:rsidRDefault="00EB726A" w:rsidP="00A85FF5">
      <w:pPr>
        <w:jc w:val="both"/>
        <w:rPr>
          <w:b/>
          <w:bCs/>
        </w:rPr>
      </w:pPr>
      <w:r w:rsidRPr="007663A2">
        <w:rPr>
          <w:b/>
          <w:bCs/>
        </w:rPr>
        <w:t xml:space="preserve">Proposal </w:t>
      </w:r>
      <w:r w:rsidR="008A4AED">
        <w:rPr>
          <w:b/>
          <w:bCs/>
        </w:rPr>
        <w:t>7</w:t>
      </w:r>
      <w:r w:rsidRPr="007663A2">
        <w:rPr>
          <w:b/>
          <w:bCs/>
        </w:rPr>
        <w:t xml:space="preserve">: </w:t>
      </w:r>
      <w:r w:rsidR="00825739" w:rsidRPr="007663A2">
        <w:rPr>
          <w:b/>
          <w:bCs/>
        </w:rPr>
        <w:t xml:space="preserve">RAN2 is asked to consider </w:t>
      </w:r>
      <w:r w:rsidR="004A1353" w:rsidRPr="007663A2">
        <w:rPr>
          <w:b/>
          <w:bCs/>
        </w:rPr>
        <w:t xml:space="preserve">the solution for minimizing the signalling during mobility in EMC, e.g. via </w:t>
      </w:r>
      <w:r w:rsidR="007663A2" w:rsidRPr="007663A2">
        <w:rPr>
          <w:b/>
          <w:bCs/>
        </w:rPr>
        <w:t>informing the UE about the partial cell layout.</w:t>
      </w:r>
      <w:r w:rsidR="002F35F5" w:rsidRPr="007663A2">
        <w:rPr>
          <w:b/>
          <w:bCs/>
        </w:rPr>
        <w:t xml:space="preserve"> </w:t>
      </w:r>
      <w:r w:rsidR="00F27B1D" w:rsidRPr="007663A2">
        <w:rPr>
          <w:b/>
          <w:bCs/>
        </w:rPr>
        <w:t xml:space="preserve"> </w:t>
      </w:r>
    </w:p>
    <w:p w14:paraId="39548BA1" w14:textId="17CFA678" w:rsidR="00D21567" w:rsidRDefault="00D21567" w:rsidP="00D21567">
      <w:pPr>
        <w:pStyle w:val="Heading2"/>
      </w:pPr>
      <w:r>
        <w:t xml:space="preserve">3.3 </w:t>
      </w:r>
      <w:r>
        <w:tab/>
        <w:t>RACH-less</w:t>
      </w:r>
      <w:r w:rsidR="00A96BED">
        <w:t xml:space="preserve"> Handover</w:t>
      </w:r>
    </w:p>
    <w:p w14:paraId="1E0FC71C" w14:textId="308BB3C1" w:rsidR="00D21567" w:rsidRDefault="00D21567" w:rsidP="00D21567">
      <w:r>
        <w:t xml:space="preserve">At RAN2#119 it was briefly discussed whether to support RACH-less for NTN </w:t>
      </w:r>
      <w:r>
        <w:fldChar w:fldCharType="begin"/>
      </w:r>
      <w:r>
        <w:instrText xml:space="preserve"> REF _Ref113965849 \r \h  \* MERGEFORMAT </w:instrText>
      </w:r>
      <w:r>
        <w:fldChar w:fldCharType="separate"/>
      </w:r>
      <w:r>
        <w:t>[2]</w:t>
      </w:r>
      <w:r>
        <w:fldChar w:fldCharType="end"/>
      </w:r>
      <w:r>
        <w:t>.</w:t>
      </w:r>
      <w:r w:rsidR="0036490C">
        <w:t xml:space="preserve"> The following has been captured:</w:t>
      </w:r>
    </w:p>
    <w:tbl>
      <w:tblPr>
        <w:tblStyle w:val="TableGrid"/>
        <w:tblW w:w="0" w:type="auto"/>
        <w:tblLook w:val="04A0" w:firstRow="1" w:lastRow="0" w:firstColumn="1" w:lastColumn="0" w:noHBand="0" w:noVBand="1"/>
      </w:tblPr>
      <w:tblGrid>
        <w:gridCol w:w="9631"/>
      </w:tblGrid>
      <w:tr w:rsidR="0036490C" w14:paraId="22D0671C" w14:textId="77777777" w:rsidTr="0036490C">
        <w:tc>
          <w:tcPr>
            <w:tcW w:w="9631" w:type="dxa"/>
          </w:tcPr>
          <w:p w14:paraId="7EE556EA" w14:textId="3F4C4CF6" w:rsidR="00AE258C" w:rsidRDefault="00AE258C" w:rsidP="00AE258C">
            <w:pPr>
              <w:pStyle w:val="Doc-title"/>
            </w:pPr>
            <w:r w:rsidRPr="007E7903">
              <w:t>R2-2207347</w:t>
            </w:r>
            <w:r>
              <w:tab/>
              <w:t>Signaling and congestion reduction in satellite switch</w:t>
            </w:r>
            <w:r>
              <w:tab/>
              <w:t>Qualcomm Incorporated</w:t>
            </w:r>
            <w:r>
              <w:tab/>
              <w:t>discussion</w:t>
            </w:r>
            <w:r>
              <w:tab/>
              <w:t>Rel-18</w:t>
            </w:r>
            <w:r>
              <w:tab/>
              <w:t>NR_NTN_enh-Core</w:t>
            </w:r>
          </w:p>
          <w:p w14:paraId="3F444F23" w14:textId="77777777" w:rsidR="00AE258C" w:rsidRDefault="00AE258C" w:rsidP="00AE258C">
            <w:pPr>
              <w:pStyle w:val="Comments"/>
            </w:pPr>
            <w:r w:rsidRPr="007A1167">
              <w:t>Proposal 1</w:t>
            </w:r>
            <w:r w:rsidRPr="007A1167">
              <w:tab/>
              <w:t>RAN2 work on group handover and RACH-less handover to mitigate the signaling overhead in source and target cells.</w:t>
            </w:r>
          </w:p>
          <w:p w14:paraId="3A9CBC92" w14:textId="77777777" w:rsidR="00AE258C" w:rsidRDefault="00AE258C" w:rsidP="00AE258C">
            <w:pPr>
              <w:pStyle w:val="Doc-text2"/>
            </w:pPr>
            <w:r>
              <w:t>-</w:t>
            </w:r>
            <w:r>
              <w:tab/>
              <w:t>HW thinks that group HO was considered in the study phase but not further pursued at the end. Also RACH-less HO is not supported in NR NTN</w:t>
            </w:r>
          </w:p>
          <w:p w14:paraId="29FAF220" w14:textId="77777777" w:rsidR="00AE258C" w:rsidRDefault="00AE258C" w:rsidP="00AE258C">
            <w:pPr>
              <w:pStyle w:val="Doc-text2"/>
            </w:pPr>
            <w:r>
              <w:t>-</w:t>
            </w:r>
            <w:r>
              <w:tab/>
              <w:t>QC thinks there is a cleat benefit from both group HO and RACH-less HO</w:t>
            </w:r>
          </w:p>
          <w:p w14:paraId="1B277B3C" w14:textId="77777777" w:rsidR="00AE258C" w:rsidRDefault="00AE258C" w:rsidP="00AE258C">
            <w:pPr>
              <w:pStyle w:val="Doc-text2"/>
            </w:pPr>
            <w:r>
              <w:t xml:space="preserve">- </w:t>
            </w:r>
            <w:r>
              <w:tab/>
              <w:t>LGE, vivo, Intel have some concerns with RACH-less</w:t>
            </w:r>
          </w:p>
          <w:p w14:paraId="02DE3CD5" w14:textId="19EB5C92" w:rsidR="0036490C" w:rsidRDefault="00AE258C" w:rsidP="007E7903">
            <w:pPr>
              <w:pStyle w:val="Doc-text2"/>
              <w:numPr>
                <w:ilvl w:val="0"/>
                <w:numId w:val="33"/>
              </w:numPr>
            </w:pPr>
            <w:r w:rsidRPr="007E7903">
              <w:rPr>
                <w:highlight w:val="yellow"/>
              </w:rPr>
              <w:t>Continue on this in the next meeting</w:t>
            </w:r>
            <w:r>
              <w:br/>
            </w:r>
          </w:p>
        </w:tc>
      </w:tr>
    </w:tbl>
    <w:p w14:paraId="76F3C21E" w14:textId="02E16114" w:rsidR="007046F6" w:rsidRDefault="003C3292" w:rsidP="007046F6">
      <w:pPr>
        <w:jc w:val="both"/>
      </w:pPr>
      <w:r>
        <w:br/>
      </w:r>
      <w:r w:rsidR="007046F6">
        <w:t xml:space="preserve">The views were diverged but there are companies clearly favouring RACH-less for NTN, e.g. </w:t>
      </w:r>
      <w:r w:rsidR="007046F6">
        <w:fldChar w:fldCharType="begin"/>
      </w:r>
      <w:r w:rsidR="007046F6">
        <w:instrText xml:space="preserve"> REF _Ref115184740 \r \h  \* MERGEFORMAT </w:instrText>
      </w:r>
      <w:r w:rsidR="007046F6">
        <w:fldChar w:fldCharType="separate"/>
      </w:r>
      <w:r w:rsidR="007046F6">
        <w:t>[5]</w:t>
      </w:r>
      <w:r w:rsidR="007046F6">
        <w:fldChar w:fldCharType="end"/>
      </w:r>
      <w:r w:rsidR="007046F6">
        <w:t xml:space="preserve">. The authors of </w:t>
      </w:r>
      <w:r w:rsidR="007046F6">
        <w:fldChar w:fldCharType="begin"/>
      </w:r>
      <w:r w:rsidR="007046F6">
        <w:instrText xml:space="preserve"> REF _Ref115184740 \r \h  \* MERGEFORMAT </w:instrText>
      </w:r>
      <w:r w:rsidR="007046F6">
        <w:fldChar w:fldCharType="separate"/>
      </w:r>
      <w:r w:rsidR="007046F6">
        <w:t>[5]</w:t>
      </w:r>
      <w:r w:rsidR="007046F6">
        <w:fldChar w:fldCharType="end"/>
      </w:r>
      <w:r w:rsidR="007046F6">
        <w:t xml:space="preserve"> propose to combine RACH-less and group HO, apparently to minimize the overhead related to RACH and HO command signalling. While the goal to minimize the burden related to numerous RA attempts is desirable, we have some doubts how this can be achieved, considering the RACH-less HO, known from LTE Rel-14. As a brief reminder, LTE RACH-less was applicable to small cells only (where Timing Advance of the source and target cell is zero) or to the cases where source’s TA can be reused at target cell.</w:t>
      </w:r>
    </w:p>
    <w:p w14:paraId="006AEBEB" w14:textId="1877D941" w:rsidR="007046F6" w:rsidRPr="008F4EEF" w:rsidRDefault="007046F6" w:rsidP="007046F6">
      <w:pPr>
        <w:jc w:val="both"/>
        <w:rPr>
          <w:b/>
          <w:bCs/>
        </w:rPr>
      </w:pPr>
      <w:r w:rsidRPr="008F4EEF">
        <w:rPr>
          <w:b/>
          <w:bCs/>
        </w:rPr>
        <w:t xml:space="preserve">Observation </w:t>
      </w:r>
      <w:r w:rsidR="008A4AED">
        <w:rPr>
          <w:b/>
          <w:bCs/>
        </w:rPr>
        <w:t>8</w:t>
      </w:r>
      <w:r w:rsidRPr="008F4EEF">
        <w:rPr>
          <w:b/>
          <w:bCs/>
        </w:rPr>
        <w:t>: LTE Rel-14 RACH-less applicability was limited to the cases where TA of the source and target cell is zero or where source’s TA can be reused at target cell.</w:t>
      </w:r>
    </w:p>
    <w:p w14:paraId="20E942F5" w14:textId="5F761670" w:rsidR="007046F6" w:rsidRDefault="007046F6" w:rsidP="007046F6">
      <w:pPr>
        <w:jc w:val="both"/>
      </w:pPr>
      <w:r>
        <w:t>Naturally, it is a bit challenging to expect TA = 0 scenario to be applicable to NTN, so the only case left (assuming there are no enhancements pursued on top of Rel-14 LTE solution) is the reuse of TA between the source and target. That in turn suggests the only potentially feasible case is to apply RACH-less when source and target cells’ antennas are collocated, i.e. intra-satellite scenario.</w:t>
      </w:r>
      <w:r w:rsidR="006B1645">
        <w:t xml:space="preserve"> </w:t>
      </w:r>
      <w:r w:rsidR="007C0E55">
        <w:t xml:space="preserve">Alternatively, </w:t>
      </w:r>
      <w:r w:rsidR="00757F96">
        <w:t>inter-satellite case with full synchronization between satellites</w:t>
      </w:r>
      <w:r w:rsidR="006B1645">
        <w:t xml:space="preserve"> would have to be ensured.</w:t>
      </w:r>
    </w:p>
    <w:p w14:paraId="2FBA6768" w14:textId="63A9DFB8" w:rsidR="007046F6" w:rsidRPr="008F4EEF" w:rsidRDefault="007046F6" w:rsidP="007046F6">
      <w:pPr>
        <w:jc w:val="both"/>
        <w:rPr>
          <w:b/>
          <w:bCs/>
        </w:rPr>
      </w:pPr>
      <w:r w:rsidRPr="008F4EEF">
        <w:rPr>
          <w:b/>
          <w:bCs/>
        </w:rPr>
        <w:t xml:space="preserve">Observation </w:t>
      </w:r>
      <w:r w:rsidR="008A4AED">
        <w:rPr>
          <w:b/>
          <w:bCs/>
        </w:rPr>
        <w:t>9</w:t>
      </w:r>
      <w:r w:rsidRPr="008F4EEF">
        <w:rPr>
          <w:b/>
          <w:bCs/>
        </w:rPr>
        <w:t>: Solution relying on Rel-14 RACH-less can be potentially applicable only to intra-satellite scenario</w:t>
      </w:r>
      <w:r w:rsidR="006B1645">
        <w:rPr>
          <w:b/>
          <w:bCs/>
        </w:rPr>
        <w:t xml:space="preserve"> or fully synchronized inter-satellite case</w:t>
      </w:r>
      <w:r w:rsidRPr="008F4EEF">
        <w:rPr>
          <w:b/>
          <w:bCs/>
        </w:rPr>
        <w:t>.</w:t>
      </w:r>
    </w:p>
    <w:p w14:paraId="1D1DBAD1" w14:textId="77777777" w:rsidR="007046F6" w:rsidRDefault="007046F6" w:rsidP="007046F6">
      <w:pPr>
        <w:jc w:val="both"/>
      </w:pPr>
      <w:r>
        <w:t>This may bring gains in selected scenarios (when the UE handovers between the cells from the same satellite), but cannot be applied widely in NTN. As random access is used for multiple purposes besides TA estimation, such as initial UL power adjustment and UL grant reception, the benefits of skipping RA could be even more limited if some other means need to be used for determining UL power and receiving UL grant. As a result, we suggest not to pursue RACH-less HO in Rel-18 NTN and focus on other mobility areas.</w:t>
      </w:r>
    </w:p>
    <w:p w14:paraId="77AF5ACF" w14:textId="050970EE" w:rsidR="004D3223" w:rsidRPr="007E7903" w:rsidRDefault="007046F6" w:rsidP="007E7903">
      <w:pPr>
        <w:jc w:val="both"/>
        <w:rPr>
          <w:b/>
          <w:bCs/>
        </w:rPr>
      </w:pPr>
      <w:r w:rsidRPr="008F4EEF">
        <w:rPr>
          <w:b/>
          <w:bCs/>
        </w:rPr>
        <w:t xml:space="preserve">Proposal </w:t>
      </w:r>
      <w:r w:rsidR="008A4AED">
        <w:rPr>
          <w:b/>
          <w:bCs/>
        </w:rPr>
        <w:t>8</w:t>
      </w:r>
      <w:r w:rsidRPr="008F4EEF">
        <w:rPr>
          <w:b/>
          <w:bCs/>
        </w:rPr>
        <w:t xml:space="preserve">: RACH-less HO is not supported in Rel-18 NTN enhancements.  </w:t>
      </w:r>
    </w:p>
    <w:p w14:paraId="48BFFBBF" w14:textId="1B47D7D4" w:rsidR="00D21567" w:rsidRDefault="00D21567" w:rsidP="00D21567">
      <w:pPr>
        <w:pStyle w:val="Heading2"/>
      </w:pPr>
      <w:r>
        <w:t xml:space="preserve">3.4 </w:t>
      </w:r>
      <w:r>
        <w:tab/>
        <w:t>Group Handover</w:t>
      </w:r>
    </w:p>
    <w:p w14:paraId="59B7F9F5" w14:textId="7BB43756" w:rsidR="00223991" w:rsidRDefault="00D21567" w:rsidP="00B12682">
      <w:pPr>
        <w:jc w:val="both"/>
      </w:pPr>
      <w:r>
        <w:t xml:space="preserve">At RAN2#119 it was </w:t>
      </w:r>
      <w:r w:rsidR="00C0280F">
        <w:t xml:space="preserve">also </w:t>
      </w:r>
      <w:r>
        <w:t xml:space="preserve">briefly discussed whether to support group HO for NTN </w:t>
      </w:r>
      <w:r>
        <w:fldChar w:fldCharType="begin"/>
      </w:r>
      <w:r>
        <w:instrText xml:space="preserve"> REF _Ref113965849 \r \h  \* MERGEFORMAT </w:instrText>
      </w:r>
      <w:r>
        <w:fldChar w:fldCharType="separate"/>
      </w:r>
      <w:r>
        <w:t>[2]</w:t>
      </w:r>
      <w:r>
        <w:fldChar w:fldCharType="end"/>
      </w:r>
      <w:r>
        <w:t>.</w:t>
      </w:r>
      <w:r w:rsidR="009B1BAF">
        <w:t xml:space="preserve"> This solution seems to be relevant for the scenario of Earth-fixed cell, where the cell’s coverage disappears at roughly the same time for all UEs served by that cell. </w:t>
      </w:r>
      <w:r w:rsidR="00FC7597">
        <w:t xml:space="preserve">In </w:t>
      </w:r>
      <w:r w:rsidR="00403FC4">
        <w:t xml:space="preserve">such circumstances, shortly before the cell is </w:t>
      </w:r>
      <w:r w:rsidR="0043355C">
        <w:t>switched off, the</w:t>
      </w:r>
      <w:r w:rsidR="007C62F4">
        <w:t xml:space="preserve"> group of UEs need to be commanded to change the cell. </w:t>
      </w:r>
      <w:r w:rsidR="00566840">
        <w:t xml:space="preserve">In </w:t>
      </w:r>
      <w:r w:rsidR="00566840">
        <w:fldChar w:fldCharType="begin"/>
      </w:r>
      <w:r w:rsidR="00566840">
        <w:instrText xml:space="preserve"> REF _Ref115184740 \r \h </w:instrText>
      </w:r>
      <w:r w:rsidR="00B12682">
        <w:instrText xml:space="preserve"> \* MERGEFORMAT </w:instrText>
      </w:r>
      <w:r w:rsidR="00566840">
        <w:fldChar w:fldCharType="separate"/>
      </w:r>
      <w:r w:rsidR="00566840">
        <w:t>[5]</w:t>
      </w:r>
      <w:r w:rsidR="00566840">
        <w:fldChar w:fldCharType="end"/>
      </w:r>
      <w:r w:rsidR="00566840">
        <w:t xml:space="preserve"> it is suggested to prepare the UEs in advance (e.g. using the CHO framework) </w:t>
      </w:r>
      <w:r w:rsidR="007277A0">
        <w:t xml:space="preserve">and then trigger </w:t>
      </w:r>
      <w:r w:rsidR="0095391A">
        <w:t>CHO</w:t>
      </w:r>
      <w:r w:rsidR="007277A0">
        <w:t xml:space="preserve"> using paging or </w:t>
      </w:r>
      <w:r w:rsidR="008D174B">
        <w:t>PDCCH with G-RNTI.</w:t>
      </w:r>
      <w:r w:rsidR="00742085">
        <w:t xml:space="preserve"> In our view the problem which group HO is attempting to solve can be already addressed using </w:t>
      </w:r>
      <w:r w:rsidR="00E65339">
        <w:t xml:space="preserve">CHO with time-based triggering. </w:t>
      </w:r>
      <w:r w:rsidR="009C0365">
        <w:t>The network can prepare multiple UEs in advance and</w:t>
      </w:r>
      <w:r w:rsidR="00B12D7C">
        <w:t xml:space="preserve"> stagger those preparations to avoid signalling </w:t>
      </w:r>
      <w:r w:rsidR="002004AA">
        <w:t xml:space="preserve">storm. </w:t>
      </w:r>
      <w:r w:rsidR="00DC5002">
        <w:t>Then</w:t>
      </w:r>
      <w:r w:rsidR="00FA6AD8">
        <w:t xml:space="preserve">, </w:t>
      </w:r>
      <w:r w:rsidR="007D5369">
        <w:t xml:space="preserve">each UE </w:t>
      </w:r>
      <w:r w:rsidR="00271F2E">
        <w:t xml:space="preserve">will evaluate corresponding CHO execution conditions, including time-based condition which should reflect the </w:t>
      </w:r>
      <w:r w:rsidR="00E27DA2">
        <w:t>serving cell’s switch-off time.</w:t>
      </w:r>
      <w:r w:rsidR="00A53D2C">
        <w:t xml:space="preserve"> </w:t>
      </w:r>
      <w:r w:rsidR="00C84C87">
        <w:t>The UE decided to start accessing the target when CHO-related conditions are met (i.e. no further signalling from the source cell is needed).</w:t>
      </w:r>
      <w:r w:rsidR="00223991">
        <w:t xml:space="preserve"> Thus, we suggest the following:</w:t>
      </w:r>
    </w:p>
    <w:p w14:paraId="197F6E87" w14:textId="253966E8" w:rsidR="00D21567" w:rsidRPr="007E7903" w:rsidRDefault="00223991" w:rsidP="007E7903">
      <w:pPr>
        <w:jc w:val="both"/>
        <w:rPr>
          <w:b/>
          <w:bCs/>
          <w:lang w:val="en-US"/>
        </w:rPr>
      </w:pPr>
      <w:r w:rsidRPr="007E7903">
        <w:rPr>
          <w:b/>
          <w:bCs/>
        </w:rPr>
        <w:t xml:space="preserve">Proposal </w:t>
      </w:r>
      <w:r w:rsidR="008A4AED">
        <w:rPr>
          <w:b/>
          <w:bCs/>
        </w:rPr>
        <w:t>9</w:t>
      </w:r>
      <w:r w:rsidRPr="007E7903">
        <w:rPr>
          <w:b/>
          <w:bCs/>
        </w:rPr>
        <w:t xml:space="preserve">: </w:t>
      </w:r>
      <w:r w:rsidR="000A686F" w:rsidRPr="007E7903">
        <w:rPr>
          <w:b/>
          <w:bCs/>
        </w:rPr>
        <w:t xml:space="preserve">Group HO is not pursued as a part of Rel-18 NTN enhancements as similar goal can be achieved using CHO </w:t>
      </w:r>
      <w:r w:rsidR="00F2782A" w:rsidRPr="007E7903">
        <w:rPr>
          <w:b/>
          <w:bCs/>
        </w:rPr>
        <w:t>with time-based triggering.</w:t>
      </w:r>
    </w:p>
    <w:p w14:paraId="69B7B8E6" w14:textId="468DF3D7" w:rsidR="009339CB" w:rsidRPr="00281B14" w:rsidRDefault="003E605E" w:rsidP="00A85FF5">
      <w:pPr>
        <w:pStyle w:val="Heading1"/>
        <w:jc w:val="both"/>
      </w:pPr>
      <w:r>
        <w:t>4</w:t>
      </w:r>
      <w:r w:rsidR="009339CB" w:rsidRPr="00281B14">
        <w:tab/>
        <w:t>Conclusion</w:t>
      </w:r>
    </w:p>
    <w:p w14:paraId="6E24B0F4" w14:textId="31765205" w:rsidR="009339CB" w:rsidRPr="00281B14" w:rsidRDefault="009339CB" w:rsidP="00A85FF5">
      <w:pPr>
        <w:jc w:val="both"/>
      </w:pPr>
      <w:r w:rsidRPr="00281B14">
        <w:t>Th</w:t>
      </w:r>
      <w:r w:rsidR="00F43FA5">
        <w:t>e following observations and proposals have been made in this paper:</w:t>
      </w:r>
    </w:p>
    <w:p w14:paraId="29857C53" w14:textId="77777777" w:rsidR="00BB0BF0" w:rsidRPr="0085135C" w:rsidRDefault="00BB0BF0" w:rsidP="00BB0BF0">
      <w:pPr>
        <w:jc w:val="both"/>
        <w:rPr>
          <w:b/>
          <w:bCs/>
        </w:rPr>
      </w:pPr>
      <w:r w:rsidRPr="0085135C">
        <w:rPr>
          <w:b/>
          <w:bCs/>
        </w:rPr>
        <w:t xml:space="preserve">Observation </w:t>
      </w:r>
      <w:r>
        <w:rPr>
          <w:b/>
          <w:bCs/>
        </w:rPr>
        <w:t>1</w:t>
      </w:r>
      <w:r w:rsidRPr="0085135C">
        <w:rPr>
          <w:b/>
          <w:bCs/>
        </w:rPr>
        <w:t>: Rel-17 introduce</w:t>
      </w:r>
      <w:r>
        <w:rPr>
          <w:b/>
          <w:bCs/>
        </w:rPr>
        <w:t>d</w:t>
      </w:r>
      <w:r w:rsidRPr="0085135C">
        <w:rPr>
          <w:b/>
          <w:bCs/>
        </w:rPr>
        <w:t xml:space="preserve"> </w:t>
      </w:r>
      <w:proofErr w:type="spellStart"/>
      <w:r w:rsidRPr="0085135C">
        <w:rPr>
          <w:b/>
          <w:bCs/>
          <w:i/>
          <w:iCs/>
        </w:rPr>
        <w:t>distanceThresh</w:t>
      </w:r>
      <w:proofErr w:type="spellEnd"/>
      <w:r w:rsidRPr="0085135C">
        <w:rPr>
          <w:b/>
          <w:bCs/>
        </w:rPr>
        <w:t xml:space="preserve"> and </w:t>
      </w:r>
      <w:r w:rsidRPr="0085135C">
        <w:rPr>
          <w:b/>
          <w:bCs/>
          <w:i/>
          <w:iCs/>
        </w:rPr>
        <w:t>t-Service</w:t>
      </w:r>
      <w:r w:rsidRPr="0085135C">
        <w:rPr>
          <w:b/>
          <w:bCs/>
        </w:rPr>
        <w:t xml:space="preserve"> which can be used by the UEs in quasi-Earth fixed cell to perform cell reselection measurements.</w:t>
      </w:r>
    </w:p>
    <w:p w14:paraId="43B6F0F8" w14:textId="77777777" w:rsidR="00BB0BF0" w:rsidRDefault="00BB0BF0" w:rsidP="00BB0BF0">
      <w:pPr>
        <w:jc w:val="both"/>
        <w:rPr>
          <w:b/>
          <w:bCs/>
        </w:rPr>
      </w:pPr>
      <w:r w:rsidRPr="0085135C">
        <w:rPr>
          <w:b/>
          <w:bCs/>
        </w:rPr>
        <w:t xml:space="preserve">Observation </w:t>
      </w:r>
      <w:r>
        <w:rPr>
          <w:b/>
          <w:bCs/>
        </w:rPr>
        <w:t>2</w:t>
      </w:r>
      <w:r w:rsidRPr="0085135C">
        <w:rPr>
          <w:b/>
          <w:bCs/>
        </w:rPr>
        <w:t xml:space="preserve">: </w:t>
      </w:r>
      <w:r>
        <w:rPr>
          <w:b/>
          <w:bCs/>
        </w:rPr>
        <w:t xml:space="preserve">using distance threshold or </w:t>
      </w:r>
      <w:r w:rsidRPr="004C6860">
        <w:rPr>
          <w:b/>
          <w:bCs/>
          <w:i/>
          <w:iCs/>
        </w:rPr>
        <w:t>t-Service</w:t>
      </w:r>
      <w:r>
        <w:rPr>
          <w:b/>
          <w:bCs/>
        </w:rPr>
        <w:t xml:space="preserve"> for cell reselections in Earth-moving NTN scenario is more complex than in quasi-Earth fixed NTN case.</w:t>
      </w:r>
    </w:p>
    <w:p w14:paraId="188E4319" w14:textId="77777777" w:rsidR="00BB0BF0" w:rsidRPr="00DB3ECF" w:rsidRDefault="00BB0BF0" w:rsidP="00BB0BF0">
      <w:pPr>
        <w:jc w:val="both"/>
        <w:rPr>
          <w:b/>
          <w:bCs/>
        </w:rPr>
      </w:pPr>
      <w:r w:rsidRPr="00DB3ECF">
        <w:rPr>
          <w:b/>
          <w:bCs/>
        </w:rPr>
        <w:t xml:space="preserve">Proposal </w:t>
      </w:r>
      <w:r>
        <w:rPr>
          <w:b/>
          <w:bCs/>
        </w:rPr>
        <w:t>1</w:t>
      </w:r>
      <w:r w:rsidRPr="00DB3ECF">
        <w:rPr>
          <w:b/>
          <w:bCs/>
        </w:rPr>
        <w:t>: UE performs individual estimation, considering satellite’s ephemeris, cell reference location and its own location to enable location-based reselections in Earth-moving scenario.</w:t>
      </w:r>
    </w:p>
    <w:p w14:paraId="57CB0B00" w14:textId="77777777" w:rsidR="00BB0BF0" w:rsidRPr="00FB2ADC" w:rsidRDefault="00BB0BF0" w:rsidP="00BB0BF0">
      <w:pPr>
        <w:jc w:val="both"/>
        <w:rPr>
          <w:b/>
          <w:bCs/>
        </w:rPr>
      </w:pPr>
      <w:r w:rsidRPr="00FB2ADC">
        <w:rPr>
          <w:b/>
          <w:bCs/>
        </w:rPr>
        <w:t xml:space="preserve">Proposal </w:t>
      </w:r>
      <w:r>
        <w:rPr>
          <w:b/>
          <w:bCs/>
        </w:rPr>
        <w:t>2</w:t>
      </w:r>
      <w:r w:rsidRPr="00FB2ADC">
        <w:rPr>
          <w:b/>
          <w:bCs/>
        </w:rPr>
        <w:t xml:space="preserve">: To enable time-based reselections in Earth-moving scenario, the IDLE UE is capable of computing its own location to adjust t-Service provided in SIB19. </w:t>
      </w:r>
    </w:p>
    <w:p w14:paraId="4BC965E9" w14:textId="77777777" w:rsidR="00BB0BF0" w:rsidRPr="0062416E" w:rsidRDefault="00BB0BF0" w:rsidP="00BB0BF0">
      <w:pPr>
        <w:jc w:val="both"/>
        <w:rPr>
          <w:b/>
          <w:bCs/>
        </w:rPr>
      </w:pPr>
      <w:r w:rsidRPr="0062416E">
        <w:rPr>
          <w:b/>
          <w:bCs/>
        </w:rPr>
        <w:t xml:space="preserve">Observation 3: Using RRC Release for providing assistance information for </w:t>
      </w:r>
      <w:r>
        <w:rPr>
          <w:b/>
          <w:bCs/>
        </w:rPr>
        <w:t xml:space="preserve">intra-NTN </w:t>
      </w:r>
      <w:r w:rsidRPr="0062416E">
        <w:rPr>
          <w:b/>
          <w:bCs/>
        </w:rPr>
        <w:t>cell reselection is possible, but not optimal (as the configuration is cell-specific).</w:t>
      </w:r>
    </w:p>
    <w:p w14:paraId="08578659" w14:textId="77777777" w:rsidR="00BB0BF0" w:rsidRDefault="00BB0BF0" w:rsidP="00BB0BF0">
      <w:pPr>
        <w:jc w:val="both"/>
        <w:rPr>
          <w:b/>
          <w:bCs/>
        </w:rPr>
      </w:pPr>
      <w:r w:rsidRPr="191F6B52">
        <w:rPr>
          <w:b/>
          <w:bCs/>
        </w:rPr>
        <w:t xml:space="preserve">Proposal 3: System information is the basic means for providing necessary parameters to assist the NTN UE in </w:t>
      </w:r>
      <w:r>
        <w:rPr>
          <w:b/>
          <w:bCs/>
        </w:rPr>
        <w:t xml:space="preserve">intra-NTN </w:t>
      </w:r>
      <w:r w:rsidRPr="191F6B52">
        <w:rPr>
          <w:b/>
          <w:bCs/>
        </w:rPr>
        <w:t>cell reselection process.</w:t>
      </w:r>
    </w:p>
    <w:p w14:paraId="1C716BF2" w14:textId="77777777" w:rsidR="00BB0BF0" w:rsidRPr="008F4EEF" w:rsidRDefault="00BB0BF0" w:rsidP="00BB0BF0">
      <w:pPr>
        <w:jc w:val="both"/>
        <w:rPr>
          <w:b/>
          <w:bCs/>
        </w:rPr>
      </w:pPr>
      <w:r w:rsidRPr="008F4EEF">
        <w:rPr>
          <w:b/>
          <w:bCs/>
        </w:rPr>
        <w:t xml:space="preserve">Observation 4: It is beneficial for the power saving purposes if the UE can measure for NTN or TN coverage only when relevant. </w:t>
      </w:r>
    </w:p>
    <w:p w14:paraId="1C325472" w14:textId="77777777" w:rsidR="00BB0BF0" w:rsidRPr="008F4EEF" w:rsidRDefault="00BB0BF0" w:rsidP="00BB0BF0">
      <w:pPr>
        <w:jc w:val="both"/>
        <w:rPr>
          <w:b/>
          <w:bCs/>
        </w:rPr>
      </w:pPr>
      <w:r w:rsidRPr="008F4EEF">
        <w:rPr>
          <w:b/>
          <w:bCs/>
        </w:rPr>
        <w:t>Proposal 4: RAN2 is asked to consider the method of detecting the transmission energy or SIB presence to determine the NTN coverage.</w:t>
      </w:r>
    </w:p>
    <w:p w14:paraId="4758E774" w14:textId="77777777" w:rsidR="00BB0BF0" w:rsidRPr="0062416E" w:rsidRDefault="00BB0BF0" w:rsidP="00BB0BF0">
      <w:pPr>
        <w:jc w:val="both"/>
        <w:rPr>
          <w:b/>
          <w:bCs/>
        </w:rPr>
      </w:pPr>
      <w:r>
        <w:rPr>
          <w:b/>
          <w:bCs/>
        </w:rPr>
        <w:t xml:space="preserve">Proposal 5: RAN2 is asked to consider the method where System Information provides a location-related indication where the search for TN coverage shall be initiated. </w:t>
      </w:r>
    </w:p>
    <w:p w14:paraId="74044AA6" w14:textId="77777777" w:rsidR="003143AD" w:rsidRPr="00A779E0" w:rsidRDefault="003143AD" w:rsidP="003143AD">
      <w:pPr>
        <w:jc w:val="both"/>
        <w:rPr>
          <w:b/>
          <w:bCs/>
        </w:rPr>
      </w:pPr>
      <w:r w:rsidRPr="00A779E0">
        <w:rPr>
          <w:b/>
          <w:bCs/>
        </w:rPr>
        <w:t xml:space="preserve">Observation </w:t>
      </w:r>
      <w:r>
        <w:rPr>
          <w:b/>
          <w:bCs/>
        </w:rPr>
        <w:t>5</w:t>
      </w:r>
      <w:r w:rsidRPr="00A779E0">
        <w:rPr>
          <w:b/>
          <w:bCs/>
        </w:rPr>
        <w:t>: UE’s expected time of stay in the cell can be used for avoiding too early resource reservations.</w:t>
      </w:r>
    </w:p>
    <w:p w14:paraId="218D0885" w14:textId="77777777" w:rsidR="003143AD" w:rsidRPr="00A779E0" w:rsidRDefault="003143AD" w:rsidP="003143AD">
      <w:pPr>
        <w:jc w:val="both"/>
        <w:rPr>
          <w:b/>
          <w:bCs/>
        </w:rPr>
      </w:pPr>
      <w:r w:rsidRPr="00A779E0">
        <w:rPr>
          <w:b/>
          <w:bCs/>
        </w:rPr>
        <w:t xml:space="preserve">Observation </w:t>
      </w:r>
      <w:r>
        <w:rPr>
          <w:b/>
          <w:bCs/>
        </w:rPr>
        <w:t>6</w:t>
      </w:r>
      <w:r w:rsidRPr="00A779E0">
        <w:rPr>
          <w:b/>
          <w:bCs/>
        </w:rPr>
        <w:t>: When accessing the new cell, UE may report it was configured with the chain of CHO configurations in one of the preceding cells.</w:t>
      </w:r>
    </w:p>
    <w:p w14:paraId="03809DC5" w14:textId="77777777" w:rsidR="003143AD" w:rsidRDefault="003143AD" w:rsidP="003143AD">
      <w:pPr>
        <w:jc w:val="both"/>
        <w:rPr>
          <w:b/>
          <w:bCs/>
        </w:rPr>
      </w:pPr>
      <w:r w:rsidRPr="00A779E0">
        <w:rPr>
          <w:b/>
          <w:bCs/>
        </w:rPr>
        <w:t xml:space="preserve">Proposal </w:t>
      </w:r>
      <w:r>
        <w:rPr>
          <w:b/>
          <w:bCs/>
        </w:rPr>
        <w:t>6</w:t>
      </w:r>
      <w:r w:rsidRPr="00A779E0">
        <w:rPr>
          <w:b/>
          <w:bCs/>
        </w:rPr>
        <w:t>: To reduce the signalling overhead during mobility a mechanism is introduced, where the UE can be provided with CHO configurations for cells beyond the next cell change (future candidate cells).</w:t>
      </w:r>
    </w:p>
    <w:p w14:paraId="479AD92B" w14:textId="77777777" w:rsidR="003143AD" w:rsidRPr="008B68B8" w:rsidRDefault="003143AD" w:rsidP="003143AD">
      <w:pPr>
        <w:jc w:val="both"/>
        <w:rPr>
          <w:b/>
          <w:bCs/>
          <w:i/>
          <w:iCs/>
        </w:rPr>
      </w:pPr>
      <w:r w:rsidRPr="008B68B8">
        <w:rPr>
          <w:b/>
          <w:bCs/>
        </w:rPr>
        <w:t xml:space="preserve">Observation </w:t>
      </w:r>
      <w:r>
        <w:rPr>
          <w:b/>
          <w:bCs/>
        </w:rPr>
        <w:t>7</w:t>
      </w:r>
      <w:r w:rsidRPr="008B68B8">
        <w:rPr>
          <w:b/>
          <w:bCs/>
        </w:rPr>
        <w:t xml:space="preserve">: In Earth-fixed case, the UE may reselect or handover to a cell which has a larger </w:t>
      </w:r>
      <w:r w:rsidRPr="008B68B8">
        <w:rPr>
          <w:b/>
          <w:bCs/>
          <w:i/>
          <w:iCs/>
        </w:rPr>
        <w:t xml:space="preserve">t-Service. </w:t>
      </w:r>
    </w:p>
    <w:p w14:paraId="0FFEED8A" w14:textId="77777777" w:rsidR="003143AD" w:rsidRDefault="003143AD" w:rsidP="003143AD">
      <w:pPr>
        <w:jc w:val="both"/>
        <w:rPr>
          <w:b/>
          <w:bCs/>
        </w:rPr>
      </w:pPr>
      <w:r w:rsidRPr="007663A2">
        <w:rPr>
          <w:b/>
          <w:bCs/>
        </w:rPr>
        <w:t xml:space="preserve">Proposal </w:t>
      </w:r>
      <w:r>
        <w:rPr>
          <w:b/>
          <w:bCs/>
        </w:rPr>
        <w:t>7</w:t>
      </w:r>
      <w:r w:rsidRPr="007663A2">
        <w:rPr>
          <w:b/>
          <w:bCs/>
        </w:rPr>
        <w:t xml:space="preserve">: RAN2 is asked to consider the solution for minimizing the signalling during mobility in EMC, e.g. via informing the UE about the partial cell layout.  </w:t>
      </w:r>
    </w:p>
    <w:p w14:paraId="15EEC719" w14:textId="77777777" w:rsidR="003143AD" w:rsidRPr="008F4EEF" w:rsidRDefault="003143AD" w:rsidP="003143AD">
      <w:pPr>
        <w:jc w:val="both"/>
        <w:rPr>
          <w:b/>
          <w:bCs/>
        </w:rPr>
      </w:pPr>
      <w:r w:rsidRPr="008F4EEF">
        <w:rPr>
          <w:b/>
          <w:bCs/>
        </w:rPr>
        <w:t xml:space="preserve">Observation </w:t>
      </w:r>
      <w:r>
        <w:rPr>
          <w:b/>
          <w:bCs/>
        </w:rPr>
        <w:t>8</w:t>
      </w:r>
      <w:r w:rsidRPr="008F4EEF">
        <w:rPr>
          <w:b/>
          <w:bCs/>
        </w:rPr>
        <w:t>: LTE Rel-14 RACH-less applicability was limited to the cases where TA of the source and target cell is zero or where source’s TA can be reused at target cell.</w:t>
      </w:r>
    </w:p>
    <w:p w14:paraId="20E373E7" w14:textId="77777777" w:rsidR="003143AD" w:rsidRPr="008F4EEF" w:rsidRDefault="003143AD" w:rsidP="003143AD">
      <w:pPr>
        <w:jc w:val="both"/>
        <w:rPr>
          <w:b/>
          <w:bCs/>
        </w:rPr>
      </w:pPr>
      <w:r w:rsidRPr="008F4EEF">
        <w:rPr>
          <w:b/>
          <w:bCs/>
        </w:rPr>
        <w:t xml:space="preserve">Observation </w:t>
      </w:r>
      <w:r>
        <w:rPr>
          <w:b/>
          <w:bCs/>
        </w:rPr>
        <w:t>9</w:t>
      </w:r>
      <w:r w:rsidRPr="008F4EEF">
        <w:rPr>
          <w:b/>
          <w:bCs/>
        </w:rPr>
        <w:t>: Solution relying on Rel-14 RACH-less can be potentially applicable only to intra-satellite scenario</w:t>
      </w:r>
      <w:r>
        <w:rPr>
          <w:b/>
          <w:bCs/>
        </w:rPr>
        <w:t xml:space="preserve"> or fully synchronized inter-satellite case</w:t>
      </w:r>
      <w:r w:rsidRPr="008F4EEF">
        <w:rPr>
          <w:b/>
          <w:bCs/>
        </w:rPr>
        <w:t>.</w:t>
      </w:r>
    </w:p>
    <w:p w14:paraId="500CD9F1" w14:textId="77777777" w:rsidR="002127AC" w:rsidRPr="008F4EEF" w:rsidRDefault="002127AC" w:rsidP="002127AC">
      <w:pPr>
        <w:jc w:val="both"/>
        <w:rPr>
          <w:b/>
          <w:bCs/>
        </w:rPr>
      </w:pPr>
      <w:r w:rsidRPr="008F4EEF">
        <w:rPr>
          <w:b/>
          <w:bCs/>
        </w:rPr>
        <w:t xml:space="preserve">Proposal </w:t>
      </w:r>
      <w:r>
        <w:rPr>
          <w:b/>
          <w:bCs/>
        </w:rPr>
        <w:t>8</w:t>
      </w:r>
      <w:r w:rsidRPr="008F4EEF">
        <w:rPr>
          <w:b/>
          <w:bCs/>
        </w:rPr>
        <w:t xml:space="preserve">: RACH-less HO is not supported in Rel-18 NTN enhancements.  </w:t>
      </w:r>
    </w:p>
    <w:p w14:paraId="2EE98957" w14:textId="382A142E" w:rsidR="0005261D" w:rsidRPr="00281B14" w:rsidRDefault="002127AC" w:rsidP="00A85FF5">
      <w:pPr>
        <w:jc w:val="both"/>
      </w:pPr>
      <w:r w:rsidRPr="008F4EEF">
        <w:rPr>
          <w:b/>
          <w:bCs/>
        </w:rPr>
        <w:t xml:space="preserve">Proposal </w:t>
      </w:r>
      <w:r>
        <w:rPr>
          <w:b/>
          <w:bCs/>
        </w:rPr>
        <w:t>9</w:t>
      </w:r>
      <w:r w:rsidRPr="008F4EEF">
        <w:rPr>
          <w:b/>
          <w:bCs/>
        </w:rPr>
        <w:t>: Group HO is not pursued as a part of Rel-18 NTN enhancements as similar goal can be achieved using CHO with time-based triggering.</w:t>
      </w:r>
    </w:p>
    <w:p w14:paraId="57DADACC" w14:textId="22C0F827" w:rsidR="006E59A4" w:rsidRDefault="006E59A4" w:rsidP="00A85FF5">
      <w:pPr>
        <w:pStyle w:val="Heading1"/>
        <w:ind w:left="0" w:firstLine="0"/>
        <w:jc w:val="both"/>
      </w:pPr>
      <w:r w:rsidRPr="00281B14">
        <w:t>References</w:t>
      </w:r>
    </w:p>
    <w:p w14:paraId="60A89D1E" w14:textId="5FEAB876" w:rsidR="00D47B80" w:rsidRDefault="00D47B80" w:rsidP="00A85FF5">
      <w:pPr>
        <w:pStyle w:val="ListParagraph"/>
        <w:numPr>
          <w:ilvl w:val="0"/>
          <w:numId w:val="27"/>
        </w:numPr>
        <w:jc w:val="both"/>
      </w:pPr>
      <w:bookmarkStart w:id="0" w:name="_Ref109128637"/>
      <w:r w:rsidRPr="005628CA">
        <w:t>RP-221819</w:t>
      </w:r>
      <w:r w:rsidR="00D75B84" w:rsidRPr="005628CA">
        <w:t xml:space="preserve"> </w:t>
      </w:r>
      <w:r w:rsidR="00D75B84" w:rsidRPr="00524CAA">
        <w:t>Revised WID: NR NTN (Non-Terrestrial Networks) enhancements</w:t>
      </w:r>
      <w:r w:rsidR="00161F40" w:rsidRPr="00524CAA">
        <w:t xml:space="preserve"> 3GPP TSG RAN Meeting #96 </w:t>
      </w:r>
      <w:r w:rsidR="00161F40" w:rsidRPr="00B91B86">
        <w:t>Budapest, Hungary, June 6-9, 2022</w:t>
      </w:r>
      <w:bookmarkEnd w:id="0"/>
    </w:p>
    <w:p w14:paraId="19FE8DDF" w14:textId="723B0449" w:rsidR="00A850B7" w:rsidRDefault="00A850B7" w:rsidP="00653757">
      <w:pPr>
        <w:pStyle w:val="ListParagraph"/>
        <w:numPr>
          <w:ilvl w:val="0"/>
          <w:numId w:val="27"/>
        </w:numPr>
        <w:jc w:val="both"/>
      </w:pPr>
      <w:bookmarkStart w:id="1" w:name="_Ref113960727"/>
      <w:bookmarkStart w:id="2" w:name="_Ref113965849"/>
      <w:r w:rsidRPr="00A850B7">
        <w:t>R2-2208701</w:t>
      </w:r>
      <w:r>
        <w:t xml:space="preserve"> </w:t>
      </w:r>
      <w:r w:rsidRPr="00A850B7">
        <w:t xml:space="preserve">Report from Break-out session on NR-NTN, IoT-NTN, REDCAP and CE </w:t>
      </w:r>
      <w:bookmarkStart w:id="3" w:name="_Ref109132521"/>
      <w:bookmarkEnd w:id="1"/>
      <w:r w:rsidRPr="003205F3">
        <w:t>3GPP TSG-RAN WG2 Meeting #11</w:t>
      </w:r>
      <w:r>
        <w:t xml:space="preserve">9 </w:t>
      </w:r>
      <w:r w:rsidRPr="003205F3">
        <w:t>electronic</w:t>
      </w:r>
      <w:r>
        <w:t>, 17-26 of August 2022</w:t>
      </w:r>
      <w:bookmarkEnd w:id="2"/>
      <w:r w:rsidRPr="00AE7CF8">
        <w:t xml:space="preserve"> </w:t>
      </w:r>
    </w:p>
    <w:p w14:paraId="6C120D4A" w14:textId="7386EB52" w:rsidR="00156C6F" w:rsidRPr="00913738" w:rsidRDefault="00156C6F" w:rsidP="00653757">
      <w:pPr>
        <w:pStyle w:val="ListParagraph"/>
        <w:numPr>
          <w:ilvl w:val="0"/>
          <w:numId w:val="27"/>
        </w:numPr>
        <w:jc w:val="both"/>
      </w:pPr>
      <w:bookmarkStart w:id="4" w:name="_Ref113965131"/>
      <w:r w:rsidRPr="00AE7CF8">
        <w:t>3GPP Technical Specific</w:t>
      </w:r>
      <w:r w:rsidR="00BC73D3" w:rsidRPr="00AE7CF8">
        <w:t xml:space="preserve">ation 38.304 </w:t>
      </w:r>
      <w:r w:rsidR="0056315F" w:rsidRPr="00913738">
        <w:t>User Equipment (UE) procedures in Idle mode and RRC Inactive state</w:t>
      </w:r>
      <w:r w:rsidR="00BC73D3" w:rsidRPr="00913738">
        <w:t xml:space="preserve"> </w:t>
      </w:r>
      <w:r w:rsidR="0056315F" w:rsidRPr="00913738">
        <w:t>(Release 17)</w:t>
      </w:r>
      <w:bookmarkEnd w:id="3"/>
      <w:bookmarkEnd w:id="4"/>
    </w:p>
    <w:p w14:paraId="39F26090" w14:textId="113D7437" w:rsidR="00D34773" w:rsidRDefault="00D34773" w:rsidP="00A85FF5">
      <w:pPr>
        <w:pStyle w:val="ListParagraph"/>
        <w:numPr>
          <w:ilvl w:val="0"/>
          <w:numId w:val="27"/>
        </w:numPr>
        <w:jc w:val="both"/>
      </w:pPr>
      <w:bookmarkStart w:id="5" w:name="_Ref109809279"/>
      <w:r w:rsidRPr="001864F5">
        <w:t>R2-2202467</w:t>
      </w:r>
      <w:r w:rsidR="008F42B4" w:rsidRPr="001864F5">
        <w:t xml:space="preserve"> Remaining Rel-17 NTN open issues for CONNECTED mode</w:t>
      </w:r>
      <w:r w:rsidR="00C72CC0" w:rsidRPr="00A85FF5">
        <w:t xml:space="preserve"> 3GPP TSG-RAN WG2 Meeting #117 Electronic, 21 February – 03 March 2022</w:t>
      </w:r>
      <w:bookmarkEnd w:id="5"/>
    </w:p>
    <w:p w14:paraId="4B903920" w14:textId="0EFCC3C3" w:rsidR="00AC4E93" w:rsidRPr="00A85FF5" w:rsidRDefault="6CA623C9" w:rsidP="00A85FF5">
      <w:pPr>
        <w:pStyle w:val="ListParagraph"/>
        <w:numPr>
          <w:ilvl w:val="0"/>
          <w:numId w:val="27"/>
        </w:numPr>
        <w:jc w:val="both"/>
      </w:pPr>
      <w:bookmarkStart w:id="6" w:name="_Ref115184740"/>
      <w:r>
        <w:t>R2-2207347</w:t>
      </w:r>
      <w:r w:rsidR="3231FBAD">
        <w:t xml:space="preserve"> </w:t>
      </w:r>
      <w:proofErr w:type="spellStart"/>
      <w:r w:rsidR="3231FBAD">
        <w:t>Signaling</w:t>
      </w:r>
      <w:proofErr w:type="spellEnd"/>
      <w:r w:rsidR="3231FBAD">
        <w:t xml:space="preserve"> and congestion reduction in satellite switch 3GPP TSG-RAN WG2 Meeting #119 electronic, 17-26 of August 2022</w:t>
      </w:r>
      <w:bookmarkEnd w:id="6"/>
    </w:p>
    <w:p w14:paraId="4DC59571" w14:textId="775D28A4" w:rsidR="006E59A4" w:rsidRPr="00281B14" w:rsidRDefault="006E59A4" w:rsidP="00A85FF5">
      <w:pPr>
        <w:jc w:val="both"/>
      </w:pPr>
    </w:p>
    <w:sectPr w:rsidR="006E59A4" w:rsidRPr="00281B1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3E5D" w14:textId="77777777" w:rsidR="00653757" w:rsidRDefault="00653757">
      <w:r>
        <w:separator/>
      </w:r>
    </w:p>
  </w:endnote>
  <w:endnote w:type="continuationSeparator" w:id="0">
    <w:p w14:paraId="11608B29" w14:textId="77777777" w:rsidR="00653757" w:rsidRDefault="00653757">
      <w:r>
        <w:continuationSeparator/>
      </w:r>
    </w:p>
  </w:endnote>
  <w:endnote w:type="continuationNotice" w:id="1">
    <w:p w14:paraId="5C7B542D" w14:textId="77777777" w:rsidR="00653757" w:rsidRDefault="00653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EA859" w14:textId="77777777" w:rsidR="00653757" w:rsidRDefault="00653757">
      <w:r>
        <w:separator/>
      </w:r>
    </w:p>
  </w:footnote>
  <w:footnote w:type="continuationSeparator" w:id="0">
    <w:p w14:paraId="4629A37C" w14:textId="77777777" w:rsidR="00653757" w:rsidRDefault="00653757">
      <w:r>
        <w:continuationSeparator/>
      </w:r>
    </w:p>
  </w:footnote>
  <w:footnote w:type="continuationNotice" w:id="1">
    <w:p w14:paraId="0F0A3D41" w14:textId="77777777" w:rsidR="00653757" w:rsidRDefault="006537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0760D"/>
    <w:multiLevelType w:val="hybridMultilevel"/>
    <w:tmpl w:val="4D3C4504"/>
    <w:lvl w:ilvl="0" w:tplc="F7C02596">
      <w:start w:val="1"/>
      <w:numFmt w:val="bullet"/>
      <w:lvlText w:val="•"/>
      <w:lvlJc w:val="left"/>
      <w:pPr>
        <w:tabs>
          <w:tab w:val="num" w:pos="720"/>
        </w:tabs>
        <w:ind w:left="720" w:hanging="360"/>
      </w:pPr>
      <w:rPr>
        <w:rFonts w:ascii="Arial" w:hAnsi="Arial" w:hint="default"/>
      </w:rPr>
    </w:lvl>
    <w:lvl w:ilvl="1" w:tplc="5C689A44">
      <w:numFmt w:val="bullet"/>
      <w:lvlText w:val="•"/>
      <w:lvlJc w:val="left"/>
      <w:pPr>
        <w:tabs>
          <w:tab w:val="num" w:pos="1440"/>
        </w:tabs>
        <w:ind w:left="1440" w:hanging="360"/>
      </w:pPr>
      <w:rPr>
        <w:rFonts w:ascii="Arial" w:hAnsi="Arial" w:hint="default"/>
      </w:rPr>
    </w:lvl>
    <w:lvl w:ilvl="2" w:tplc="9A8A26CA" w:tentative="1">
      <w:start w:val="1"/>
      <w:numFmt w:val="bullet"/>
      <w:lvlText w:val="•"/>
      <w:lvlJc w:val="left"/>
      <w:pPr>
        <w:tabs>
          <w:tab w:val="num" w:pos="2160"/>
        </w:tabs>
        <w:ind w:left="2160" w:hanging="360"/>
      </w:pPr>
      <w:rPr>
        <w:rFonts w:ascii="Arial" w:hAnsi="Arial" w:hint="default"/>
      </w:rPr>
    </w:lvl>
    <w:lvl w:ilvl="3" w:tplc="85069FF8" w:tentative="1">
      <w:start w:val="1"/>
      <w:numFmt w:val="bullet"/>
      <w:lvlText w:val="•"/>
      <w:lvlJc w:val="left"/>
      <w:pPr>
        <w:tabs>
          <w:tab w:val="num" w:pos="2880"/>
        </w:tabs>
        <w:ind w:left="2880" w:hanging="360"/>
      </w:pPr>
      <w:rPr>
        <w:rFonts w:ascii="Arial" w:hAnsi="Arial" w:hint="default"/>
      </w:rPr>
    </w:lvl>
    <w:lvl w:ilvl="4" w:tplc="692E7220" w:tentative="1">
      <w:start w:val="1"/>
      <w:numFmt w:val="bullet"/>
      <w:lvlText w:val="•"/>
      <w:lvlJc w:val="left"/>
      <w:pPr>
        <w:tabs>
          <w:tab w:val="num" w:pos="3600"/>
        </w:tabs>
        <w:ind w:left="3600" w:hanging="360"/>
      </w:pPr>
      <w:rPr>
        <w:rFonts w:ascii="Arial" w:hAnsi="Arial" w:hint="default"/>
      </w:rPr>
    </w:lvl>
    <w:lvl w:ilvl="5" w:tplc="B996382E" w:tentative="1">
      <w:start w:val="1"/>
      <w:numFmt w:val="bullet"/>
      <w:lvlText w:val="•"/>
      <w:lvlJc w:val="left"/>
      <w:pPr>
        <w:tabs>
          <w:tab w:val="num" w:pos="4320"/>
        </w:tabs>
        <w:ind w:left="4320" w:hanging="360"/>
      </w:pPr>
      <w:rPr>
        <w:rFonts w:ascii="Arial" w:hAnsi="Arial" w:hint="default"/>
      </w:rPr>
    </w:lvl>
    <w:lvl w:ilvl="6" w:tplc="84E4A822" w:tentative="1">
      <w:start w:val="1"/>
      <w:numFmt w:val="bullet"/>
      <w:lvlText w:val="•"/>
      <w:lvlJc w:val="left"/>
      <w:pPr>
        <w:tabs>
          <w:tab w:val="num" w:pos="5040"/>
        </w:tabs>
        <w:ind w:left="5040" w:hanging="360"/>
      </w:pPr>
      <w:rPr>
        <w:rFonts w:ascii="Arial" w:hAnsi="Arial" w:hint="default"/>
      </w:rPr>
    </w:lvl>
    <w:lvl w:ilvl="7" w:tplc="B9408218" w:tentative="1">
      <w:start w:val="1"/>
      <w:numFmt w:val="bullet"/>
      <w:lvlText w:val="•"/>
      <w:lvlJc w:val="left"/>
      <w:pPr>
        <w:tabs>
          <w:tab w:val="num" w:pos="5760"/>
        </w:tabs>
        <w:ind w:left="5760" w:hanging="360"/>
      </w:pPr>
      <w:rPr>
        <w:rFonts w:ascii="Arial" w:hAnsi="Arial" w:hint="default"/>
      </w:rPr>
    </w:lvl>
    <w:lvl w:ilvl="8" w:tplc="598E1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E51A9"/>
    <w:multiLevelType w:val="hybridMultilevel"/>
    <w:tmpl w:val="148C7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8465D"/>
    <w:multiLevelType w:val="hybridMultilevel"/>
    <w:tmpl w:val="3F809694"/>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AF359B"/>
    <w:multiLevelType w:val="hybridMultilevel"/>
    <w:tmpl w:val="5434DB5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DB58F3"/>
    <w:multiLevelType w:val="hybridMultilevel"/>
    <w:tmpl w:val="72E06052"/>
    <w:lvl w:ilvl="0" w:tplc="F2C8A716">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3C005C50"/>
    <w:multiLevelType w:val="hybridMultilevel"/>
    <w:tmpl w:val="34DAFB4C"/>
    <w:lvl w:ilvl="0" w:tplc="4A983E2C">
      <w:start w:val="1"/>
      <w:numFmt w:val="bullet"/>
      <w:lvlText w:val=""/>
      <w:lvlJc w:val="left"/>
      <w:pPr>
        <w:ind w:left="720" w:hanging="360"/>
      </w:pPr>
      <w:rPr>
        <w:rFonts w:ascii="Symbol" w:hAnsi="Symbol" w:hint="default"/>
      </w:rPr>
    </w:lvl>
    <w:lvl w:ilvl="1" w:tplc="7ED63B42">
      <w:start w:val="1"/>
      <w:numFmt w:val="bullet"/>
      <w:lvlText w:val=""/>
      <w:lvlJc w:val="left"/>
      <w:pPr>
        <w:ind w:left="1440" w:hanging="360"/>
      </w:pPr>
      <w:rPr>
        <w:rFonts w:ascii="Symbol" w:hAnsi="Symbol" w:hint="default"/>
      </w:rPr>
    </w:lvl>
    <w:lvl w:ilvl="2" w:tplc="C7F8F6EE">
      <w:start w:val="1"/>
      <w:numFmt w:val="bullet"/>
      <w:lvlText w:val=""/>
      <w:lvlJc w:val="left"/>
      <w:pPr>
        <w:ind w:left="2160" w:hanging="360"/>
      </w:pPr>
      <w:rPr>
        <w:rFonts w:ascii="Wingdings" w:hAnsi="Wingdings" w:hint="default"/>
      </w:rPr>
    </w:lvl>
    <w:lvl w:ilvl="3" w:tplc="A0208AC8">
      <w:start w:val="1"/>
      <w:numFmt w:val="bullet"/>
      <w:lvlText w:val=""/>
      <w:lvlJc w:val="left"/>
      <w:pPr>
        <w:ind w:left="2880" w:hanging="360"/>
      </w:pPr>
      <w:rPr>
        <w:rFonts w:ascii="Symbol" w:hAnsi="Symbol" w:hint="default"/>
      </w:rPr>
    </w:lvl>
    <w:lvl w:ilvl="4" w:tplc="BBC630A6">
      <w:start w:val="1"/>
      <w:numFmt w:val="bullet"/>
      <w:lvlText w:val="o"/>
      <w:lvlJc w:val="left"/>
      <w:pPr>
        <w:ind w:left="3600" w:hanging="360"/>
      </w:pPr>
      <w:rPr>
        <w:rFonts w:ascii="Courier New" w:hAnsi="Courier New" w:hint="default"/>
      </w:rPr>
    </w:lvl>
    <w:lvl w:ilvl="5" w:tplc="CBAE495A">
      <w:start w:val="1"/>
      <w:numFmt w:val="bullet"/>
      <w:lvlText w:val=""/>
      <w:lvlJc w:val="left"/>
      <w:pPr>
        <w:ind w:left="4320" w:hanging="360"/>
      </w:pPr>
      <w:rPr>
        <w:rFonts w:ascii="Wingdings" w:hAnsi="Wingdings" w:hint="default"/>
      </w:rPr>
    </w:lvl>
    <w:lvl w:ilvl="6" w:tplc="67B030F2">
      <w:start w:val="1"/>
      <w:numFmt w:val="bullet"/>
      <w:lvlText w:val=""/>
      <w:lvlJc w:val="left"/>
      <w:pPr>
        <w:ind w:left="5040" w:hanging="360"/>
      </w:pPr>
      <w:rPr>
        <w:rFonts w:ascii="Symbol" w:hAnsi="Symbol" w:hint="default"/>
      </w:rPr>
    </w:lvl>
    <w:lvl w:ilvl="7" w:tplc="28127D30">
      <w:start w:val="1"/>
      <w:numFmt w:val="bullet"/>
      <w:lvlText w:val="o"/>
      <w:lvlJc w:val="left"/>
      <w:pPr>
        <w:ind w:left="5760" w:hanging="360"/>
      </w:pPr>
      <w:rPr>
        <w:rFonts w:ascii="Courier New" w:hAnsi="Courier New" w:hint="default"/>
      </w:rPr>
    </w:lvl>
    <w:lvl w:ilvl="8" w:tplc="26D4DA3C">
      <w:start w:val="1"/>
      <w:numFmt w:val="bullet"/>
      <w:lvlText w:val=""/>
      <w:lvlJc w:val="left"/>
      <w:pPr>
        <w:ind w:left="6480" w:hanging="360"/>
      </w:pPr>
      <w:rPr>
        <w:rFonts w:ascii="Wingdings" w:hAnsi="Wingdings" w:hint="default"/>
      </w:rPr>
    </w:lvl>
  </w:abstractNum>
  <w:abstractNum w:abstractNumId="13" w15:restartNumberingAfterBreak="0">
    <w:nsid w:val="47BF3EAF"/>
    <w:multiLevelType w:val="hybridMultilevel"/>
    <w:tmpl w:val="0EBA5CAA"/>
    <w:lvl w:ilvl="0" w:tplc="5A1A06C8">
      <w:start w:val="1"/>
      <w:numFmt w:val="bullet"/>
      <w:lvlText w:val="•"/>
      <w:lvlJc w:val="left"/>
      <w:pPr>
        <w:tabs>
          <w:tab w:val="num" w:pos="720"/>
        </w:tabs>
        <w:ind w:left="720" w:hanging="360"/>
      </w:pPr>
      <w:rPr>
        <w:rFonts w:ascii="Arial" w:hAnsi="Arial" w:hint="default"/>
      </w:rPr>
    </w:lvl>
    <w:lvl w:ilvl="1" w:tplc="6BC4A4E6">
      <w:numFmt w:val="bullet"/>
      <w:lvlText w:val="•"/>
      <w:lvlJc w:val="left"/>
      <w:pPr>
        <w:tabs>
          <w:tab w:val="num" w:pos="1440"/>
        </w:tabs>
        <w:ind w:left="1440" w:hanging="360"/>
      </w:pPr>
      <w:rPr>
        <w:rFonts w:ascii="Arial" w:hAnsi="Arial" w:hint="default"/>
      </w:rPr>
    </w:lvl>
    <w:lvl w:ilvl="2" w:tplc="B5504644" w:tentative="1">
      <w:start w:val="1"/>
      <w:numFmt w:val="bullet"/>
      <w:lvlText w:val="•"/>
      <w:lvlJc w:val="left"/>
      <w:pPr>
        <w:tabs>
          <w:tab w:val="num" w:pos="2160"/>
        </w:tabs>
        <w:ind w:left="2160" w:hanging="360"/>
      </w:pPr>
      <w:rPr>
        <w:rFonts w:ascii="Arial" w:hAnsi="Arial" w:hint="default"/>
      </w:rPr>
    </w:lvl>
    <w:lvl w:ilvl="3" w:tplc="FBA2328E" w:tentative="1">
      <w:start w:val="1"/>
      <w:numFmt w:val="bullet"/>
      <w:lvlText w:val="•"/>
      <w:lvlJc w:val="left"/>
      <w:pPr>
        <w:tabs>
          <w:tab w:val="num" w:pos="2880"/>
        </w:tabs>
        <w:ind w:left="2880" w:hanging="360"/>
      </w:pPr>
      <w:rPr>
        <w:rFonts w:ascii="Arial" w:hAnsi="Arial" w:hint="default"/>
      </w:rPr>
    </w:lvl>
    <w:lvl w:ilvl="4" w:tplc="CF0CBFE0" w:tentative="1">
      <w:start w:val="1"/>
      <w:numFmt w:val="bullet"/>
      <w:lvlText w:val="•"/>
      <w:lvlJc w:val="left"/>
      <w:pPr>
        <w:tabs>
          <w:tab w:val="num" w:pos="3600"/>
        </w:tabs>
        <w:ind w:left="3600" w:hanging="360"/>
      </w:pPr>
      <w:rPr>
        <w:rFonts w:ascii="Arial" w:hAnsi="Arial" w:hint="default"/>
      </w:rPr>
    </w:lvl>
    <w:lvl w:ilvl="5" w:tplc="ABB6179E" w:tentative="1">
      <w:start w:val="1"/>
      <w:numFmt w:val="bullet"/>
      <w:lvlText w:val="•"/>
      <w:lvlJc w:val="left"/>
      <w:pPr>
        <w:tabs>
          <w:tab w:val="num" w:pos="4320"/>
        </w:tabs>
        <w:ind w:left="4320" w:hanging="360"/>
      </w:pPr>
      <w:rPr>
        <w:rFonts w:ascii="Arial" w:hAnsi="Arial" w:hint="default"/>
      </w:rPr>
    </w:lvl>
    <w:lvl w:ilvl="6" w:tplc="8388879C" w:tentative="1">
      <w:start w:val="1"/>
      <w:numFmt w:val="bullet"/>
      <w:lvlText w:val="•"/>
      <w:lvlJc w:val="left"/>
      <w:pPr>
        <w:tabs>
          <w:tab w:val="num" w:pos="5040"/>
        </w:tabs>
        <w:ind w:left="5040" w:hanging="360"/>
      </w:pPr>
      <w:rPr>
        <w:rFonts w:ascii="Arial" w:hAnsi="Arial" w:hint="default"/>
      </w:rPr>
    </w:lvl>
    <w:lvl w:ilvl="7" w:tplc="EBB41C46" w:tentative="1">
      <w:start w:val="1"/>
      <w:numFmt w:val="bullet"/>
      <w:lvlText w:val="•"/>
      <w:lvlJc w:val="left"/>
      <w:pPr>
        <w:tabs>
          <w:tab w:val="num" w:pos="5760"/>
        </w:tabs>
        <w:ind w:left="5760" w:hanging="360"/>
      </w:pPr>
      <w:rPr>
        <w:rFonts w:ascii="Arial" w:hAnsi="Arial" w:hint="default"/>
      </w:rPr>
    </w:lvl>
    <w:lvl w:ilvl="8" w:tplc="F8D22A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ED07E4"/>
    <w:multiLevelType w:val="hybridMultilevel"/>
    <w:tmpl w:val="EE225778"/>
    <w:lvl w:ilvl="0" w:tplc="E79286C0">
      <w:start w:val="1"/>
      <w:numFmt w:val="bullet"/>
      <w:lvlText w:val="•"/>
      <w:lvlJc w:val="left"/>
      <w:pPr>
        <w:tabs>
          <w:tab w:val="num" w:pos="720"/>
        </w:tabs>
        <w:ind w:left="720" w:hanging="360"/>
      </w:pPr>
      <w:rPr>
        <w:rFonts w:ascii="Arial" w:hAnsi="Arial" w:hint="default"/>
      </w:rPr>
    </w:lvl>
    <w:lvl w:ilvl="1" w:tplc="065C3630" w:tentative="1">
      <w:start w:val="1"/>
      <w:numFmt w:val="bullet"/>
      <w:lvlText w:val="•"/>
      <w:lvlJc w:val="left"/>
      <w:pPr>
        <w:tabs>
          <w:tab w:val="num" w:pos="1440"/>
        </w:tabs>
        <w:ind w:left="1440" w:hanging="360"/>
      </w:pPr>
      <w:rPr>
        <w:rFonts w:ascii="Arial" w:hAnsi="Arial" w:hint="default"/>
      </w:rPr>
    </w:lvl>
    <w:lvl w:ilvl="2" w:tplc="24CAD4FC" w:tentative="1">
      <w:start w:val="1"/>
      <w:numFmt w:val="bullet"/>
      <w:lvlText w:val="•"/>
      <w:lvlJc w:val="left"/>
      <w:pPr>
        <w:tabs>
          <w:tab w:val="num" w:pos="2160"/>
        </w:tabs>
        <w:ind w:left="2160" w:hanging="360"/>
      </w:pPr>
      <w:rPr>
        <w:rFonts w:ascii="Arial" w:hAnsi="Arial" w:hint="default"/>
      </w:rPr>
    </w:lvl>
    <w:lvl w:ilvl="3" w:tplc="69A8E664" w:tentative="1">
      <w:start w:val="1"/>
      <w:numFmt w:val="bullet"/>
      <w:lvlText w:val="•"/>
      <w:lvlJc w:val="left"/>
      <w:pPr>
        <w:tabs>
          <w:tab w:val="num" w:pos="2880"/>
        </w:tabs>
        <w:ind w:left="2880" w:hanging="360"/>
      </w:pPr>
      <w:rPr>
        <w:rFonts w:ascii="Arial" w:hAnsi="Arial" w:hint="default"/>
      </w:rPr>
    </w:lvl>
    <w:lvl w:ilvl="4" w:tplc="45507CF0" w:tentative="1">
      <w:start w:val="1"/>
      <w:numFmt w:val="bullet"/>
      <w:lvlText w:val="•"/>
      <w:lvlJc w:val="left"/>
      <w:pPr>
        <w:tabs>
          <w:tab w:val="num" w:pos="3600"/>
        </w:tabs>
        <w:ind w:left="3600" w:hanging="360"/>
      </w:pPr>
      <w:rPr>
        <w:rFonts w:ascii="Arial" w:hAnsi="Arial" w:hint="default"/>
      </w:rPr>
    </w:lvl>
    <w:lvl w:ilvl="5" w:tplc="7350207E" w:tentative="1">
      <w:start w:val="1"/>
      <w:numFmt w:val="bullet"/>
      <w:lvlText w:val="•"/>
      <w:lvlJc w:val="left"/>
      <w:pPr>
        <w:tabs>
          <w:tab w:val="num" w:pos="4320"/>
        </w:tabs>
        <w:ind w:left="4320" w:hanging="360"/>
      </w:pPr>
      <w:rPr>
        <w:rFonts w:ascii="Arial" w:hAnsi="Arial" w:hint="default"/>
      </w:rPr>
    </w:lvl>
    <w:lvl w:ilvl="6" w:tplc="D73462F4" w:tentative="1">
      <w:start w:val="1"/>
      <w:numFmt w:val="bullet"/>
      <w:lvlText w:val="•"/>
      <w:lvlJc w:val="left"/>
      <w:pPr>
        <w:tabs>
          <w:tab w:val="num" w:pos="5040"/>
        </w:tabs>
        <w:ind w:left="5040" w:hanging="360"/>
      </w:pPr>
      <w:rPr>
        <w:rFonts w:ascii="Arial" w:hAnsi="Arial" w:hint="default"/>
      </w:rPr>
    </w:lvl>
    <w:lvl w:ilvl="7" w:tplc="B8FC17A8" w:tentative="1">
      <w:start w:val="1"/>
      <w:numFmt w:val="bullet"/>
      <w:lvlText w:val="•"/>
      <w:lvlJc w:val="left"/>
      <w:pPr>
        <w:tabs>
          <w:tab w:val="num" w:pos="5760"/>
        </w:tabs>
        <w:ind w:left="5760" w:hanging="360"/>
      </w:pPr>
      <w:rPr>
        <w:rFonts w:ascii="Arial" w:hAnsi="Arial" w:hint="default"/>
      </w:rPr>
    </w:lvl>
    <w:lvl w:ilvl="8" w:tplc="04C6A3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EA56434"/>
    <w:multiLevelType w:val="hybridMultilevel"/>
    <w:tmpl w:val="DF4881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51490E"/>
    <w:multiLevelType w:val="hybridMultilevel"/>
    <w:tmpl w:val="96F261D4"/>
    <w:lvl w:ilvl="0" w:tplc="FA205064">
      <w:start w:val="2"/>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398242E"/>
    <w:multiLevelType w:val="hybridMultilevel"/>
    <w:tmpl w:val="738899AC"/>
    <w:lvl w:ilvl="0" w:tplc="DA58E5D2">
      <w:start w:val="1"/>
      <w:numFmt w:val="bullet"/>
      <w:lvlText w:val="•"/>
      <w:lvlJc w:val="left"/>
      <w:pPr>
        <w:tabs>
          <w:tab w:val="num" w:pos="720"/>
        </w:tabs>
        <w:ind w:left="720" w:hanging="360"/>
      </w:pPr>
      <w:rPr>
        <w:rFonts w:ascii="Arial" w:hAnsi="Arial" w:hint="default"/>
      </w:rPr>
    </w:lvl>
    <w:lvl w:ilvl="1" w:tplc="42B0DE96" w:tentative="1">
      <w:start w:val="1"/>
      <w:numFmt w:val="bullet"/>
      <w:lvlText w:val="•"/>
      <w:lvlJc w:val="left"/>
      <w:pPr>
        <w:tabs>
          <w:tab w:val="num" w:pos="1440"/>
        </w:tabs>
        <w:ind w:left="1440" w:hanging="360"/>
      </w:pPr>
      <w:rPr>
        <w:rFonts w:ascii="Arial" w:hAnsi="Arial" w:hint="default"/>
      </w:rPr>
    </w:lvl>
    <w:lvl w:ilvl="2" w:tplc="D8ACD6C2" w:tentative="1">
      <w:start w:val="1"/>
      <w:numFmt w:val="bullet"/>
      <w:lvlText w:val="•"/>
      <w:lvlJc w:val="left"/>
      <w:pPr>
        <w:tabs>
          <w:tab w:val="num" w:pos="2160"/>
        </w:tabs>
        <w:ind w:left="2160" w:hanging="360"/>
      </w:pPr>
      <w:rPr>
        <w:rFonts w:ascii="Arial" w:hAnsi="Arial" w:hint="default"/>
      </w:rPr>
    </w:lvl>
    <w:lvl w:ilvl="3" w:tplc="50065A9A" w:tentative="1">
      <w:start w:val="1"/>
      <w:numFmt w:val="bullet"/>
      <w:lvlText w:val="•"/>
      <w:lvlJc w:val="left"/>
      <w:pPr>
        <w:tabs>
          <w:tab w:val="num" w:pos="2880"/>
        </w:tabs>
        <w:ind w:left="2880" w:hanging="360"/>
      </w:pPr>
      <w:rPr>
        <w:rFonts w:ascii="Arial" w:hAnsi="Arial" w:hint="default"/>
      </w:rPr>
    </w:lvl>
    <w:lvl w:ilvl="4" w:tplc="219254C4" w:tentative="1">
      <w:start w:val="1"/>
      <w:numFmt w:val="bullet"/>
      <w:lvlText w:val="•"/>
      <w:lvlJc w:val="left"/>
      <w:pPr>
        <w:tabs>
          <w:tab w:val="num" w:pos="3600"/>
        </w:tabs>
        <w:ind w:left="3600" w:hanging="360"/>
      </w:pPr>
      <w:rPr>
        <w:rFonts w:ascii="Arial" w:hAnsi="Arial" w:hint="default"/>
      </w:rPr>
    </w:lvl>
    <w:lvl w:ilvl="5" w:tplc="7F3814AA" w:tentative="1">
      <w:start w:val="1"/>
      <w:numFmt w:val="bullet"/>
      <w:lvlText w:val="•"/>
      <w:lvlJc w:val="left"/>
      <w:pPr>
        <w:tabs>
          <w:tab w:val="num" w:pos="4320"/>
        </w:tabs>
        <w:ind w:left="4320" w:hanging="360"/>
      </w:pPr>
      <w:rPr>
        <w:rFonts w:ascii="Arial" w:hAnsi="Arial" w:hint="default"/>
      </w:rPr>
    </w:lvl>
    <w:lvl w:ilvl="6" w:tplc="3A32146E" w:tentative="1">
      <w:start w:val="1"/>
      <w:numFmt w:val="bullet"/>
      <w:lvlText w:val="•"/>
      <w:lvlJc w:val="left"/>
      <w:pPr>
        <w:tabs>
          <w:tab w:val="num" w:pos="5040"/>
        </w:tabs>
        <w:ind w:left="5040" w:hanging="360"/>
      </w:pPr>
      <w:rPr>
        <w:rFonts w:ascii="Arial" w:hAnsi="Arial" w:hint="default"/>
      </w:rPr>
    </w:lvl>
    <w:lvl w:ilvl="7" w:tplc="106E905E" w:tentative="1">
      <w:start w:val="1"/>
      <w:numFmt w:val="bullet"/>
      <w:lvlText w:val="•"/>
      <w:lvlJc w:val="left"/>
      <w:pPr>
        <w:tabs>
          <w:tab w:val="num" w:pos="5760"/>
        </w:tabs>
        <w:ind w:left="5760" w:hanging="360"/>
      </w:pPr>
      <w:rPr>
        <w:rFonts w:ascii="Arial" w:hAnsi="Arial" w:hint="default"/>
      </w:rPr>
    </w:lvl>
    <w:lvl w:ilvl="8" w:tplc="0A188B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1F65B5"/>
    <w:multiLevelType w:val="hybridMultilevel"/>
    <w:tmpl w:val="5C94068A"/>
    <w:lvl w:ilvl="0" w:tplc="475E793C">
      <w:start w:val="1"/>
      <w:numFmt w:val="bullet"/>
      <w:lvlText w:val="•"/>
      <w:lvlJc w:val="left"/>
      <w:pPr>
        <w:tabs>
          <w:tab w:val="num" w:pos="720"/>
        </w:tabs>
        <w:ind w:left="720" w:hanging="360"/>
      </w:pPr>
      <w:rPr>
        <w:rFonts w:ascii="Arial" w:hAnsi="Arial" w:hint="default"/>
      </w:rPr>
    </w:lvl>
    <w:lvl w:ilvl="1" w:tplc="95683608">
      <w:numFmt w:val="bullet"/>
      <w:lvlText w:val="•"/>
      <w:lvlJc w:val="left"/>
      <w:pPr>
        <w:tabs>
          <w:tab w:val="num" w:pos="1440"/>
        </w:tabs>
        <w:ind w:left="1440" w:hanging="360"/>
      </w:pPr>
      <w:rPr>
        <w:rFonts w:ascii="Arial" w:hAnsi="Arial" w:hint="default"/>
      </w:rPr>
    </w:lvl>
    <w:lvl w:ilvl="2" w:tplc="2CDC3E86" w:tentative="1">
      <w:start w:val="1"/>
      <w:numFmt w:val="bullet"/>
      <w:lvlText w:val="•"/>
      <w:lvlJc w:val="left"/>
      <w:pPr>
        <w:tabs>
          <w:tab w:val="num" w:pos="2160"/>
        </w:tabs>
        <w:ind w:left="2160" w:hanging="360"/>
      </w:pPr>
      <w:rPr>
        <w:rFonts w:ascii="Arial" w:hAnsi="Arial" w:hint="default"/>
      </w:rPr>
    </w:lvl>
    <w:lvl w:ilvl="3" w:tplc="EA0A4082" w:tentative="1">
      <w:start w:val="1"/>
      <w:numFmt w:val="bullet"/>
      <w:lvlText w:val="•"/>
      <w:lvlJc w:val="left"/>
      <w:pPr>
        <w:tabs>
          <w:tab w:val="num" w:pos="2880"/>
        </w:tabs>
        <w:ind w:left="2880" w:hanging="360"/>
      </w:pPr>
      <w:rPr>
        <w:rFonts w:ascii="Arial" w:hAnsi="Arial" w:hint="default"/>
      </w:rPr>
    </w:lvl>
    <w:lvl w:ilvl="4" w:tplc="2C42527C" w:tentative="1">
      <w:start w:val="1"/>
      <w:numFmt w:val="bullet"/>
      <w:lvlText w:val="•"/>
      <w:lvlJc w:val="left"/>
      <w:pPr>
        <w:tabs>
          <w:tab w:val="num" w:pos="3600"/>
        </w:tabs>
        <w:ind w:left="3600" w:hanging="360"/>
      </w:pPr>
      <w:rPr>
        <w:rFonts w:ascii="Arial" w:hAnsi="Arial" w:hint="default"/>
      </w:rPr>
    </w:lvl>
    <w:lvl w:ilvl="5" w:tplc="E75403D2" w:tentative="1">
      <w:start w:val="1"/>
      <w:numFmt w:val="bullet"/>
      <w:lvlText w:val="•"/>
      <w:lvlJc w:val="left"/>
      <w:pPr>
        <w:tabs>
          <w:tab w:val="num" w:pos="4320"/>
        </w:tabs>
        <w:ind w:left="4320" w:hanging="360"/>
      </w:pPr>
      <w:rPr>
        <w:rFonts w:ascii="Arial" w:hAnsi="Arial" w:hint="default"/>
      </w:rPr>
    </w:lvl>
    <w:lvl w:ilvl="6" w:tplc="0ABC09BE" w:tentative="1">
      <w:start w:val="1"/>
      <w:numFmt w:val="bullet"/>
      <w:lvlText w:val="•"/>
      <w:lvlJc w:val="left"/>
      <w:pPr>
        <w:tabs>
          <w:tab w:val="num" w:pos="5040"/>
        </w:tabs>
        <w:ind w:left="5040" w:hanging="360"/>
      </w:pPr>
      <w:rPr>
        <w:rFonts w:ascii="Arial" w:hAnsi="Arial" w:hint="default"/>
      </w:rPr>
    </w:lvl>
    <w:lvl w:ilvl="7" w:tplc="F896208C" w:tentative="1">
      <w:start w:val="1"/>
      <w:numFmt w:val="bullet"/>
      <w:lvlText w:val="•"/>
      <w:lvlJc w:val="left"/>
      <w:pPr>
        <w:tabs>
          <w:tab w:val="num" w:pos="5760"/>
        </w:tabs>
        <w:ind w:left="5760" w:hanging="360"/>
      </w:pPr>
      <w:rPr>
        <w:rFonts w:ascii="Arial" w:hAnsi="Arial" w:hint="default"/>
      </w:rPr>
    </w:lvl>
    <w:lvl w:ilvl="8" w:tplc="FF7CFF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4353F8"/>
    <w:multiLevelType w:val="hybridMultilevel"/>
    <w:tmpl w:val="29E2129C"/>
    <w:lvl w:ilvl="0" w:tplc="639CAE30">
      <w:start w:val="1"/>
      <w:numFmt w:val="bullet"/>
      <w:lvlText w:val="•"/>
      <w:lvlJc w:val="left"/>
      <w:pPr>
        <w:tabs>
          <w:tab w:val="num" w:pos="720"/>
        </w:tabs>
        <w:ind w:left="720" w:hanging="360"/>
      </w:pPr>
      <w:rPr>
        <w:rFonts w:ascii="Arial" w:hAnsi="Arial" w:hint="default"/>
      </w:rPr>
    </w:lvl>
    <w:lvl w:ilvl="1" w:tplc="E02EC464">
      <w:numFmt w:val="bullet"/>
      <w:lvlText w:val="•"/>
      <w:lvlJc w:val="left"/>
      <w:pPr>
        <w:tabs>
          <w:tab w:val="num" w:pos="1440"/>
        </w:tabs>
        <w:ind w:left="1440" w:hanging="360"/>
      </w:pPr>
      <w:rPr>
        <w:rFonts w:ascii="Arial" w:hAnsi="Arial" w:hint="default"/>
      </w:rPr>
    </w:lvl>
    <w:lvl w:ilvl="2" w:tplc="A710B8DA" w:tentative="1">
      <w:start w:val="1"/>
      <w:numFmt w:val="bullet"/>
      <w:lvlText w:val="•"/>
      <w:lvlJc w:val="left"/>
      <w:pPr>
        <w:tabs>
          <w:tab w:val="num" w:pos="2160"/>
        </w:tabs>
        <w:ind w:left="2160" w:hanging="360"/>
      </w:pPr>
      <w:rPr>
        <w:rFonts w:ascii="Arial" w:hAnsi="Arial" w:hint="default"/>
      </w:rPr>
    </w:lvl>
    <w:lvl w:ilvl="3" w:tplc="10CA79D0" w:tentative="1">
      <w:start w:val="1"/>
      <w:numFmt w:val="bullet"/>
      <w:lvlText w:val="•"/>
      <w:lvlJc w:val="left"/>
      <w:pPr>
        <w:tabs>
          <w:tab w:val="num" w:pos="2880"/>
        </w:tabs>
        <w:ind w:left="2880" w:hanging="360"/>
      </w:pPr>
      <w:rPr>
        <w:rFonts w:ascii="Arial" w:hAnsi="Arial" w:hint="default"/>
      </w:rPr>
    </w:lvl>
    <w:lvl w:ilvl="4" w:tplc="AED0EC40" w:tentative="1">
      <w:start w:val="1"/>
      <w:numFmt w:val="bullet"/>
      <w:lvlText w:val="•"/>
      <w:lvlJc w:val="left"/>
      <w:pPr>
        <w:tabs>
          <w:tab w:val="num" w:pos="3600"/>
        </w:tabs>
        <w:ind w:left="3600" w:hanging="360"/>
      </w:pPr>
      <w:rPr>
        <w:rFonts w:ascii="Arial" w:hAnsi="Arial" w:hint="default"/>
      </w:rPr>
    </w:lvl>
    <w:lvl w:ilvl="5" w:tplc="DA442424" w:tentative="1">
      <w:start w:val="1"/>
      <w:numFmt w:val="bullet"/>
      <w:lvlText w:val="•"/>
      <w:lvlJc w:val="left"/>
      <w:pPr>
        <w:tabs>
          <w:tab w:val="num" w:pos="4320"/>
        </w:tabs>
        <w:ind w:left="4320" w:hanging="360"/>
      </w:pPr>
      <w:rPr>
        <w:rFonts w:ascii="Arial" w:hAnsi="Arial" w:hint="default"/>
      </w:rPr>
    </w:lvl>
    <w:lvl w:ilvl="6" w:tplc="F0044E6C" w:tentative="1">
      <w:start w:val="1"/>
      <w:numFmt w:val="bullet"/>
      <w:lvlText w:val="•"/>
      <w:lvlJc w:val="left"/>
      <w:pPr>
        <w:tabs>
          <w:tab w:val="num" w:pos="5040"/>
        </w:tabs>
        <w:ind w:left="5040" w:hanging="360"/>
      </w:pPr>
      <w:rPr>
        <w:rFonts w:ascii="Arial" w:hAnsi="Arial" w:hint="default"/>
      </w:rPr>
    </w:lvl>
    <w:lvl w:ilvl="7" w:tplc="1F5687C6" w:tentative="1">
      <w:start w:val="1"/>
      <w:numFmt w:val="bullet"/>
      <w:lvlText w:val="•"/>
      <w:lvlJc w:val="left"/>
      <w:pPr>
        <w:tabs>
          <w:tab w:val="num" w:pos="5760"/>
        </w:tabs>
        <w:ind w:left="5760" w:hanging="360"/>
      </w:pPr>
      <w:rPr>
        <w:rFonts w:ascii="Arial" w:hAnsi="Arial" w:hint="default"/>
      </w:rPr>
    </w:lvl>
    <w:lvl w:ilvl="8" w:tplc="31C00C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C9DB78"/>
    <w:multiLevelType w:val="hybridMultilevel"/>
    <w:tmpl w:val="EAF425DE"/>
    <w:lvl w:ilvl="0" w:tplc="35E88E4A">
      <w:start w:val="1"/>
      <w:numFmt w:val="bullet"/>
      <w:lvlText w:val=""/>
      <w:lvlJc w:val="left"/>
      <w:pPr>
        <w:ind w:left="720" w:hanging="360"/>
      </w:pPr>
      <w:rPr>
        <w:rFonts w:ascii="Symbol" w:hAnsi="Symbol" w:hint="default"/>
      </w:rPr>
    </w:lvl>
    <w:lvl w:ilvl="1" w:tplc="376459AC">
      <w:start w:val="1"/>
      <w:numFmt w:val="bullet"/>
      <w:lvlText w:val="o"/>
      <w:lvlJc w:val="left"/>
      <w:pPr>
        <w:ind w:left="1440" w:hanging="360"/>
      </w:pPr>
      <w:rPr>
        <w:rFonts w:ascii="Courier New" w:hAnsi="Courier New" w:hint="default"/>
      </w:rPr>
    </w:lvl>
    <w:lvl w:ilvl="2" w:tplc="AEBA9E9A">
      <w:start w:val="1"/>
      <w:numFmt w:val="bullet"/>
      <w:lvlText w:val=""/>
      <w:lvlJc w:val="left"/>
      <w:pPr>
        <w:ind w:left="2160" w:hanging="360"/>
      </w:pPr>
      <w:rPr>
        <w:rFonts w:ascii="Wingdings" w:hAnsi="Wingdings" w:hint="default"/>
      </w:rPr>
    </w:lvl>
    <w:lvl w:ilvl="3" w:tplc="1DD6E9FC">
      <w:start w:val="1"/>
      <w:numFmt w:val="bullet"/>
      <w:lvlText w:val=""/>
      <w:lvlJc w:val="left"/>
      <w:pPr>
        <w:ind w:left="2880" w:hanging="360"/>
      </w:pPr>
      <w:rPr>
        <w:rFonts w:ascii="Symbol" w:hAnsi="Symbol" w:hint="default"/>
      </w:rPr>
    </w:lvl>
    <w:lvl w:ilvl="4" w:tplc="08E8FCD0">
      <w:start w:val="1"/>
      <w:numFmt w:val="bullet"/>
      <w:lvlText w:val="o"/>
      <w:lvlJc w:val="left"/>
      <w:pPr>
        <w:ind w:left="3600" w:hanging="360"/>
      </w:pPr>
      <w:rPr>
        <w:rFonts w:ascii="Courier New" w:hAnsi="Courier New" w:hint="default"/>
      </w:rPr>
    </w:lvl>
    <w:lvl w:ilvl="5" w:tplc="4E0A2AA0">
      <w:start w:val="1"/>
      <w:numFmt w:val="bullet"/>
      <w:lvlText w:val=""/>
      <w:lvlJc w:val="left"/>
      <w:pPr>
        <w:ind w:left="4320" w:hanging="360"/>
      </w:pPr>
      <w:rPr>
        <w:rFonts w:ascii="Wingdings" w:hAnsi="Wingdings" w:hint="default"/>
      </w:rPr>
    </w:lvl>
    <w:lvl w:ilvl="6" w:tplc="A54274E4">
      <w:start w:val="1"/>
      <w:numFmt w:val="bullet"/>
      <w:lvlText w:val=""/>
      <w:lvlJc w:val="left"/>
      <w:pPr>
        <w:ind w:left="5040" w:hanging="360"/>
      </w:pPr>
      <w:rPr>
        <w:rFonts w:ascii="Symbol" w:hAnsi="Symbol" w:hint="default"/>
      </w:rPr>
    </w:lvl>
    <w:lvl w:ilvl="7" w:tplc="DD9E783A">
      <w:start w:val="1"/>
      <w:numFmt w:val="bullet"/>
      <w:lvlText w:val="o"/>
      <w:lvlJc w:val="left"/>
      <w:pPr>
        <w:ind w:left="5760" w:hanging="360"/>
      </w:pPr>
      <w:rPr>
        <w:rFonts w:ascii="Courier New" w:hAnsi="Courier New" w:hint="default"/>
      </w:rPr>
    </w:lvl>
    <w:lvl w:ilvl="8" w:tplc="E1C85132">
      <w:start w:val="1"/>
      <w:numFmt w:val="bullet"/>
      <w:lvlText w:val=""/>
      <w:lvlJc w:val="left"/>
      <w:pPr>
        <w:ind w:left="6480" w:hanging="360"/>
      </w:pPr>
      <w:rPr>
        <w:rFonts w:ascii="Wingdings" w:hAnsi="Wingdings" w:hint="default"/>
      </w:rPr>
    </w:lvl>
  </w:abstractNum>
  <w:abstractNum w:abstractNumId="24" w15:restartNumberingAfterBreak="0">
    <w:nsid w:val="64BB156C"/>
    <w:multiLevelType w:val="hybridMultilevel"/>
    <w:tmpl w:val="0B8C7D22"/>
    <w:lvl w:ilvl="0" w:tplc="F318A6C4">
      <w:start w:val="1"/>
      <w:numFmt w:val="bullet"/>
      <w:lvlText w:val="•"/>
      <w:lvlJc w:val="left"/>
      <w:pPr>
        <w:tabs>
          <w:tab w:val="num" w:pos="720"/>
        </w:tabs>
        <w:ind w:left="720" w:hanging="360"/>
      </w:pPr>
      <w:rPr>
        <w:rFonts w:ascii="Arial" w:hAnsi="Arial" w:hint="default"/>
      </w:rPr>
    </w:lvl>
    <w:lvl w:ilvl="1" w:tplc="1B3AECF2">
      <w:numFmt w:val="bullet"/>
      <w:lvlText w:val="•"/>
      <w:lvlJc w:val="left"/>
      <w:pPr>
        <w:tabs>
          <w:tab w:val="num" w:pos="1440"/>
        </w:tabs>
        <w:ind w:left="1440" w:hanging="360"/>
      </w:pPr>
      <w:rPr>
        <w:rFonts w:ascii="Arial" w:hAnsi="Arial" w:hint="default"/>
      </w:rPr>
    </w:lvl>
    <w:lvl w:ilvl="2" w:tplc="7F5EB31C" w:tentative="1">
      <w:start w:val="1"/>
      <w:numFmt w:val="bullet"/>
      <w:lvlText w:val="•"/>
      <w:lvlJc w:val="left"/>
      <w:pPr>
        <w:tabs>
          <w:tab w:val="num" w:pos="2160"/>
        </w:tabs>
        <w:ind w:left="2160" w:hanging="360"/>
      </w:pPr>
      <w:rPr>
        <w:rFonts w:ascii="Arial" w:hAnsi="Arial" w:hint="default"/>
      </w:rPr>
    </w:lvl>
    <w:lvl w:ilvl="3" w:tplc="A63E1236" w:tentative="1">
      <w:start w:val="1"/>
      <w:numFmt w:val="bullet"/>
      <w:lvlText w:val="•"/>
      <w:lvlJc w:val="left"/>
      <w:pPr>
        <w:tabs>
          <w:tab w:val="num" w:pos="2880"/>
        </w:tabs>
        <w:ind w:left="2880" w:hanging="360"/>
      </w:pPr>
      <w:rPr>
        <w:rFonts w:ascii="Arial" w:hAnsi="Arial" w:hint="default"/>
      </w:rPr>
    </w:lvl>
    <w:lvl w:ilvl="4" w:tplc="E07ECAB8" w:tentative="1">
      <w:start w:val="1"/>
      <w:numFmt w:val="bullet"/>
      <w:lvlText w:val="•"/>
      <w:lvlJc w:val="left"/>
      <w:pPr>
        <w:tabs>
          <w:tab w:val="num" w:pos="3600"/>
        </w:tabs>
        <w:ind w:left="3600" w:hanging="360"/>
      </w:pPr>
      <w:rPr>
        <w:rFonts w:ascii="Arial" w:hAnsi="Arial" w:hint="default"/>
      </w:rPr>
    </w:lvl>
    <w:lvl w:ilvl="5" w:tplc="91167126" w:tentative="1">
      <w:start w:val="1"/>
      <w:numFmt w:val="bullet"/>
      <w:lvlText w:val="•"/>
      <w:lvlJc w:val="left"/>
      <w:pPr>
        <w:tabs>
          <w:tab w:val="num" w:pos="4320"/>
        </w:tabs>
        <w:ind w:left="4320" w:hanging="360"/>
      </w:pPr>
      <w:rPr>
        <w:rFonts w:ascii="Arial" w:hAnsi="Arial" w:hint="default"/>
      </w:rPr>
    </w:lvl>
    <w:lvl w:ilvl="6" w:tplc="3EDE3CDE" w:tentative="1">
      <w:start w:val="1"/>
      <w:numFmt w:val="bullet"/>
      <w:lvlText w:val="•"/>
      <w:lvlJc w:val="left"/>
      <w:pPr>
        <w:tabs>
          <w:tab w:val="num" w:pos="5040"/>
        </w:tabs>
        <w:ind w:left="5040" w:hanging="360"/>
      </w:pPr>
      <w:rPr>
        <w:rFonts w:ascii="Arial" w:hAnsi="Arial" w:hint="default"/>
      </w:rPr>
    </w:lvl>
    <w:lvl w:ilvl="7" w:tplc="6E16CA18" w:tentative="1">
      <w:start w:val="1"/>
      <w:numFmt w:val="bullet"/>
      <w:lvlText w:val="•"/>
      <w:lvlJc w:val="left"/>
      <w:pPr>
        <w:tabs>
          <w:tab w:val="num" w:pos="5760"/>
        </w:tabs>
        <w:ind w:left="5760" w:hanging="360"/>
      </w:pPr>
      <w:rPr>
        <w:rFonts w:ascii="Arial" w:hAnsi="Arial" w:hint="default"/>
      </w:rPr>
    </w:lvl>
    <w:lvl w:ilvl="8" w:tplc="9AD2DE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54008A"/>
    <w:multiLevelType w:val="hybridMultilevel"/>
    <w:tmpl w:val="BB44B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B4165"/>
    <w:multiLevelType w:val="hybridMultilevel"/>
    <w:tmpl w:val="EF2AE05A"/>
    <w:lvl w:ilvl="0" w:tplc="81480E94">
      <w:start w:val="1"/>
      <w:numFmt w:val="decimal"/>
      <w:lvlText w:val="%1."/>
      <w:lvlJc w:val="left"/>
      <w:pPr>
        <w:tabs>
          <w:tab w:val="num" w:pos="720"/>
        </w:tabs>
        <w:ind w:left="720" w:hanging="360"/>
      </w:pPr>
    </w:lvl>
    <w:lvl w:ilvl="1" w:tplc="C4E07F32" w:tentative="1">
      <w:start w:val="1"/>
      <w:numFmt w:val="decimal"/>
      <w:lvlText w:val="%2."/>
      <w:lvlJc w:val="left"/>
      <w:pPr>
        <w:tabs>
          <w:tab w:val="num" w:pos="1440"/>
        </w:tabs>
        <w:ind w:left="1440" w:hanging="360"/>
      </w:pPr>
    </w:lvl>
    <w:lvl w:ilvl="2" w:tplc="238037BE" w:tentative="1">
      <w:start w:val="1"/>
      <w:numFmt w:val="decimal"/>
      <w:lvlText w:val="%3."/>
      <w:lvlJc w:val="left"/>
      <w:pPr>
        <w:tabs>
          <w:tab w:val="num" w:pos="2160"/>
        </w:tabs>
        <w:ind w:left="2160" w:hanging="360"/>
      </w:pPr>
    </w:lvl>
    <w:lvl w:ilvl="3" w:tplc="FDEE250A" w:tentative="1">
      <w:start w:val="1"/>
      <w:numFmt w:val="decimal"/>
      <w:lvlText w:val="%4."/>
      <w:lvlJc w:val="left"/>
      <w:pPr>
        <w:tabs>
          <w:tab w:val="num" w:pos="2880"/>
        </w:tabs>
        <w:ind w:left="2880" w:hanging="360"/>
      </w:pPr>
    </w:lvl>
    <w:lvl w:ilvl="4" w:tplc="6DF23FAA" w:tentative="1">
      <w:start w:val="1"/>
      <w:numFmt w:val="decimal"/>
      <w:lvlText w:val="%5."/>
      <w:lvlJc w:val="left"/>
      <w:pPr>
        <w:tabs>
          <w:tab w:val="num" w:pos="3600"/>
        </w:tabs>
        <w:ind w:left="3600" w:hanging="360"/>
      </w:pPr>
    </w:lvl>
    <w:lvl w:ilvl="5" w:tplc="D8C0DB98" w:tentative="1">
      <w:start w:val="1"/>
      <w:numFmt w:val="decimal"/>
      <w:lvlText w:val="%6."/>
      <w:lvlJc w:val="left"/>
      <w:pPr>
        <w:tabs>
          <w:tab w:val="num" w:pos="4320"/>
        </w:tabs>
        <w:ind w:left="4320" w:hanging="360"/>
      </w:pPr>
    </w:lvl>
    <w:lvl w:ilvl="6" w:tplc="DAF21D64" w:tentative="1">
      <w:start w:val="1"/>
      <w:numFmt w:val="decimal"/>
      <w:lvlText w:val="%7."/>
      <w:lvlJc w:val="left"/>
      <w:pPr>
        <w:tabs>
          <w:tab w:val="num" w:pos="5040"/>
        </w:tabs>
        <w:ind w:left="5040" w:hanging="360"/>
      </w:pPr>
    </w:lvl>
    <w:lvl w:ilvl="7" w:tplc="ECF8841E" w:tentative="1">
      <w:start w:val="1"/>
      <w:numFmt w:val="decimal"/>
      <w:lvlText w:val="%8."/>
      <w:lvlJc w:val="left"/>
      <w:pPr>
        <w:tabs>
          <w:tab w:val="num" w:pos="5760"/>
        </w:tabs>
        <w:ind w:left="5760" w:hanging="360"/>
      </w:pPr>
    </w:lvl>
    <w:lvl w:ilvl="8" w:tplc="E1AAF4F2" w:tentative="1">
      <w:start w:val="1"/>
      <w:numFmt w:val="decimal"/>
      <w:lvlText w:val="%9."/>
      <w:lvlJc w:val="left"/>
      <w:pPr>
        <w:tabs>
          <w:tab w:val="num" w:pos="6480"/>
        </w:tabs>
        <w:ind w:left="6480" w:hanging="360"/>
      </w:pPr>
    </w:lvl>
  </w:abstractNum>
  <w:abstractNum w:abstractNumId="27" w15:restartNumberingAfterBreak="0">
    <w:nsid w:val="75AF1A6F"/>
    <w:multiLevelType w:val="hybridMultilevel"/>
    <w:tmpl w:val="8306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D7D88"/>
    <w:multiLevelType w:val="hybridMultilevel"/>
    <w:tmpl w:val="1D48B8FA"/>
    <w:lvl w:ilvl="0" w:tplc="C7BC3226">
      <w:start w:val="1"/>
      <w:numFmt w:val="bullet"/>
      <w:lvlText w:val="•"/>
      <w:lvlJc w:val="left"/>
      <w:pPr>
        <w:tabs>
          <w:tab w:val="num" w:pos="720"/>
        </w:tabs>
        <w:ind w:left="720" w:hanging="360"/>
      </w:pPr>
      <w:rPr>
        <w:rFonts w:ascii="Arial" w:hAnsi="Arial" w:hint="default"/>
      </w:rPr>
    </w:lvl>
    <w:lvl w:ilvl="1" w:tplc="3B4E6DEA">
      <w:numFmt w:val="bullet"/>
      <w:lvlText w:val="•"/>
      <w:lvlJc w:val="left"/>
      <w:pPr>
        <w:tabs>
          <w:tab w:val="num" w:pos="1440"/>
        </w:tabs>
        <w:ind w:left="1440" w:hanging="360"/>
      </w:pPr>
      <w:rPr>
        <w:rFonts w:ascii="Arial" w:hAnsi="Arial" w:hint="default"/>
      </w:rPr>
    </w:lvl>
    <w:lvl w:ilvl="2" w:tplc="4A96ECAC">
      <w:numFmt w:val="bullet"/>
      <w:lvlText w:val="•"/>
      <w:lvlJc w:val="left"/>
      <w:pPr>
        <w:tabs>
          <w:tab w:val="num" w:pos="2160"/>
        </w:tabs>
        <w:ind w:left="2160" w:hanging="360"/>
      </w:pPr>
      <w:rPr>
        <w:rFonts w:ascii="Arial" w:hAnsi="Arial" w:hint="default"/>
      </w:rPr>
    </w:lvl>
    <w:lvl w:ilvl="3" w:tplc="0E9CBC3E" w:tentative="1">
      <w:start w:val="1"/>
      <w:numFmt w:val="bullet"/>
      <w:lvlText w:val="•"/>
      <w:lvlJc w:val="left"/>
      <w:pPr>
        <w:tabs>
          <w:tab w:val="num" w:pos="2880"/>
        </w:tabs>
        <w:ind w:left="2880" w:hanging="360"/>
      </w:pPr>
      <w:rPr>
        <w:rFonts w:ascii="Arial" w:hAnsi="Arial" w:hint="default"/>
      </w:rPr>
    </w:lvl>
    <w:lvl w:ilvl="4" w:tplc="2918054A" w:tentative="1">
      <w:start w:val="1"/>
      <w:numFmt w:val="bullet"/>
      <w:lvlText w:val="•"/>
      <w:lvlJc w:val="left"/>
      <w:pPr>
        <w:tabs>
          <w:tab w:val="num" w:pos="3600"/>
        </w:tabs>
        <w:ind w:left="3600" w:hanging="360"/>
      </w:pPr>
      <w:rPr>
        <w:rFonts w:ascii="Arial" w:hAnsi="Arial" w:hint="default"/>
      </w:rPr>
    </w:lvl>
    <w:lvl w:ilvl="5" w:tplc="463A90E2" w:tentative="1">
      <w:start w:val="1"/>
      <w:numFmt w:val="bullet"/>
      <w:lvlText w:val="•"/>
      <w:lvlJc w:val="left"/>
      <w:pPr>
        <w:tabs>
          <w:tab w:val="num" w:pos="4320"/>
        </w:tabs>
        <w:ind w:left="4320" w:hanging="360"/>
      </w:pPr>
      <w:rPr>
        <w:rFonts w:ascii="Arial" w:hAnsi="Arial" w:hint="default"/>
      </w:rPr>
    </w:lvl>
    <w:lvl w:ilvl="6" w:tplc="B43047E8" w:tentative="1">
      <w:start w:val="1"/>
      <w:numFmt w:val="bullet"/>
      <w:lvlText w:val="•"/>
      <w:lvlJc w:val="left"/>
      <w:pPr>
        <w:tabs>
          <w:tab w:val="num" w:pos="5040"/>
        </w:tabs>
        <w:ind w:left="5040" w:hanging="360"/>
      </w:pPr>
      <w:rPr>
        <w:rFonts w:ascii="Arial" w:hAnsi="Arial" w:hint="default"/>
      </w:rPr>
    </w:lvl>
    <w:lvl w:ilvl="7" w:tplc="04AEDF68" w:tentative="1">
      <w:start w:val="1"/>
      <w:numFmt w:val="bullet"/>
      <w:lvlText w:val="•"/>
      <w:lvlJc w:val="left"/>
      <w:pPr>
        <w:tabs>
          <w:tab w:val="num" w:pos="5760"/>
        </w:tabs>
        <w:ind w:left="5760" w:hanging="360"/>
      </w:pPr>
      <w:rPr>
        <w:rFonts w:ascii="Arial" w:hAnsi="Arial" w:hint="default"/>
      </w:rPr>
    </w:lvl>
    <w:lvl w:ilvl="8" w:tplc="350C9F3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107EA8"/>
    <w:multiLevelType w:val="hybridMultilevel"/>
    <w:tmpl w:val="A75E6848"/>
    <w:lvl w:ilvl="0" w:tplc="2AE84B38">
      <w:start w:val="1"/>
      <w:numFmt w:val="decimal"/>
      <w:lvlText w:val="%1."/>
      <w:lvlJc w:val="left"/>
      <w:pPr>
        <w:tabs>
          <w:tab w:val="num" w:pos="720"/>
        </w:tabs>
        <w:ind w:left="720" w:hanging="360"/>
      </w:pPr>
    </w:lvl>
    <w:lvl w:ilvl="1" w:tplc="3A32149C" w:tentative="1">
      <w:start w:val="1"/>
      <w:numFmt w:val="decimal"/>
      <w:lvlText w:val="%2."/>
      <w:lvlJc w:val="left"/>
      <w:pPr>
        <w:tabs>
          <w:tab w:val="num" w:pos="1440"/>
        </w:tabs>
        <w:ind w:left="1440" w:hanging="360"/>
      </w:pPr>
    </w:lvl>
    <w:lvl w:ilvl="2" w:tplc="2772A514" w:tentative="1">
      <w:start w:val="1"/>
      <w:numFmt w:val="decimal"/>
      <w:lvlText w:val="%3."/>
      <w:lvlJc w:val="left"/>
      <w:pPr>
        <w:tabs>
          <w:tab w:val="num" w:pos="2160"/>
        </w:tabs>
        <w:ind w:left="2160" w:hanging="360"/>
      </w:pPr>
    </w:lvl>
    <w:lvl w:ilvl="3" w:tplc="87F8C9F2" w:tentative="1">
      <w:start w:val="1"/>
      <w:numFmt w:val="decimal"/>
      <w:lvlText w:val="%4."/>
      <w:lvlJc w:val="left"/>
      <w:pPr>
        <w:tabs>
          <w:tab w:val="num" w:pos="2880"/>
        </w:tabs>
        <w:ind w:left="2880" w:hanging="360"/>
      </w:pPr>
    </w:lvl>
    <w:lvl w:ilvl="4" w:tplc="CB7CFEDC" w:tentative="1">
      <w:start w:val="1"/>
      <w:numFmt w:val="decimal"/>
      <w:lvlText w:val="%5."/>
      <w:lvlJc w:val="left"/>
      <w:pPr>
        <w:tabs>
          <w:tab w:val="num" w:pos="3600"/>
        </w:tabs>
        <w:ind w:left="3600" w:hanging="360"/>
      </w:pPr>
    </w:lvl>
    <w:lvl w:ilvl="5" w:tplc="C61E0C42" w:tentative="1">
      <w:start w:val="1"/>
      <w:numFmt w:val="decimal"/>
      <w:lvlText w:val="%6."/>
      <w:lvlJc w:val="left"/>
      <w:pPr>
        <w:tabs>
          <w:tab w:val="num" w:pos="4320"/>
        </w:tabs>
        <w:ind w:left="4320" w:hanging="360"/>
      </w:pPr>
    </w:lvl>
    <w:lvl w:ilvl="6" w:tplc="91CA5AB2" w:tentative="1">
      <w:start w:val="1"/>
      <w:numFmt w:val="decimal"/>
      <w:lvlText w:val="%7."/>
      <w:lvlJc w:val="left"/>
      <w:pPr>
        <w:tabs>
          <w:tab w:val="num" w:pos="5040"/>
        </w:tabs>
        <w:ind w:left="5040" w:hanging="360"/>
      </w:pPr>
    </w:lvl>
    <w:lvl w:ilvl="7" w:tplc="E1B21F24" w:tentative="1">
      <w:start w:val="1"/>
      <w:numFmt w:val="decimal"/>
      <w:lvlText w:val="%8."/>
      <w:lvlJc w:val="left"/>
      <w:pPr>
        <w:tabs>
          <w:tab w:val="num" w:pos="5760"/>
        </w:tabs>
        <w:ind w:left="5760" w:hanging="360"/>
      </w:pPr>
    </w:lvl>
    <w:lvl w:ilvl="8" w:tplc="F118AD22" w:tentative="1">
      <w:start w:val="1"/>
      <w:numFmt w:val="decimal"/>
      <w:lvlText w:val="%9."/>
      <w:lvlJc w:val="left"/>
      <w:pPr>
        <w:tabs>
          <w:tab w:val="num" w:pos="6480"/>
        </w:tabs>
        <w:ind w:left="6480" w:hanging="360"/>
      </w:pPr>
    </w:lvl>
  </w:abstractNum>
  <w:abstractNum w:abstractNumId="30" w15:restartNumberingAfterBreak="0">
    <w:nsid w:val="7AD351B0"/>
    <w:multiLevelType w:val="hybridMultilevel"/>
    <w:tmpl w:val="2A0A5058"/>
    <w:lvl w:ilvl="0" w:tplc="9092D2C0">
      <w:start w:val="1"/>
      <w:numFmt w:val="decimal"/>
      <w:lvlText w:val="%1."/>
      <w:lvlJc w:val="left"/>
      <w:pPr>
        <w:tabs>
          <w:tab w:val="num" w:pos="720"/>
        </w:tabs>
        <w:ind w:left="720" w:hanging="360"/>
      </w:pPr>
    </w:lvl>
    <w:lvl w:ilvl="1" w:tplc="AEA43AD4">
      <w:numFmt w:val="bullet"/>
      <w:lvlText w:val="•"/>
      <w:lvlJc w:val="left"/>
      <w:pPr>
        <w:tabs>
          <w:tab w:val="num" w:pos="1440"/>
        </w:tabs>
        <w:ind w:left="1440" w:hanging="360"/>
      </w:pPr>
      <w:rPr>
        <w:rFonts w:ascii="Arial" w:hAnsi="Arial" w:hint="default"/>
      </w:rPr>
    </w:lvl>
    <w:lvl w:ilvl="2" w:tplc="5A607084" w:tentative="1">
      <w:start w:val="1"/>
      <w:numFmt w:val="decimal"/>
      <w:lvlText w:val="%3."/>
      <w:lvlJc w:val="left"/>
      <w:pPr>
        <w:tabs>
          <w:tab w:val="num" w:pos="2160"/>
        </w:tabs>
        <w:ind w:left="2160" w:hanging="360"/>
      </w:pPr>
    </w:lvl>
    <w:lvl w:ilvl="3" w:tplc="DFF8ACA4" w:tentative="1">
      <w:start w:val="1"/>
      <w:numFmt w:val="decimal"/>
      <w:lvlText w:val="%4."/>
      <w:lvlJc w:val="left"/>
      <w:pPr>
        <w:tabs>
          <w:tab w:val="num" w:pos="2880"/>
        </w:tabs>
        <w:ind w:left="2880" w:hanging="360"/>
      </w:pPr>
    </w:lvl>
    <w:lvl w:ilvl="4" w:tplc="BE9E57A6" w:tentative="1">
      <w:start w:val="1"/>
      <w:numFmt w:val="decimal"/>
      <w:lvlText w:val="%5."/>
      <w:lvlJc w:val="left"/>
      <w:pPr>
        <w:tabs>
          <w:tab w:val="num" w:pos="3600"/>
        </w:tabs>
        <w:ind w:left="3600" w:hanging="360"/>
      </w:pPr>
    </w:lvl>
    <w:lvl w:ilvl="5" w:tplc="0F92C866" w:tentative="1">
      <w:start w:val="1"/>
      <w:numFmt w:val="decimal"/>
      <w:lvlText w:val="%6."/>
      <w:lvlJc w:val="left"/>
      <w:pPr>
        <w:tabs>
          <w:tab w:val="num" w:pos="4320"/>
        </w:tabs>
        <w:ind w:left="4320" w:hanging="360"/>
      </w:pPr>
    </w:lvl>
    <w:lvl w:ilvl="6" w:tplc="76FE8322" w:tentative="1">
      <w:start w:val="1"/>
      <w:numFmt w:val="decimal"/>
      <w:lvlText w:val="%7."/>
      <w:lvlJc w:val="left"/>
      <w:pPr>
        <w:tabs>
          <w:tab w:val="num" w:pos="5040"/>
        </w:tabs>
        <w:ind w:left="5040" w:hanging="360"/>
      </w:pPr>
    </w:lvl>
    <w:lvl w:ilvl="7" w:tplc="0E80B1A0" w:tentative="1">
      <w:start w:val="1"/>
      <w:numFmt w:val="decimal"/>
      <w:lvlText w:val="%8."/>
      <w:lvlJc w:val="left"/>
      <w:pPr>
        <w:tabs>
          <w:tab w:val="num" w:pos="5760"/>
        </w:tabs>
        <w:ind w:left="5760" w:hanging="360"/>
      </w:pPr>
    </w:lvl>
    <w:lvl w:ilvl="8" w:tplc="B66CF7A4" w:tentative="1">
      <w:start w:val="1"/>
      <w:numFmt w:val="decimal"/>
      <w:lvlText w:val="%9."/>
      <w:lvlJc w:val="left"/>
      <w:pPr>
        <w:tabs>
          <w:tab w:val="num" w:pos="6480"/>
        </w:tabs>
        <w:ind w:left="6480" w:hanging="360"/>
      </w:pPr>
    </w:lvl>
  </w:abstractNum>
  <w:abstractNum w:abstractNumId="3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3383856">
    <w:abstractNumId w:val="12"/>
  </w:num>
  <w:num w:numId="2" w16cid:durableId="2111195708">
    <w:abstractNumId w:val="23"/>
  </w:num>
  <w:num w:numId="3" w16cid:durableId="376778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820107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04738166">
    <w:abstractNumId w:val="1"/>
  </w:num>
  <w:num w:numId="6" w16cid:durableId="14230063">
    <w:abstractNumId w:val="10"/>
  </w:num>
  <w:num w:numId="7" w16cid:durableId="795176321">
    <w:abstractNumId w:val="8"/>
  </w:num>
  <w:num w:numId="8" w16cid:durableId="853810254">
    <w:abstractNumId w:val="15"/>
  </w:num>
  <w:num w:numId="9" w16cid:durableId="422651993">
    <w:abstractNumId w:val="16"/>
  </w:num>
  <w:num w:numId="10" w16cid:durableId="218709393">
    <w:abstractNumId w:val="5"/>
  </w:num>
  <w:num w:numId="11" w16cid:durableId="798766346">
    <w:abstractNumId w:val="7"/>
  </w:num>
  <w:num w:numId="12" w16cid:durableId="297150175">
    <w:abstractNumId w:val="4"/>
  </w:num>
  <w:num w:numId="13" w16cid:durableId="1819036720">
    <w:abstractNumId w:val="18"/>
  </w:num>
  <w:num w:numId="14" w16cid:durableId="433137333">
    <w:abstractNumId w:val="27"/>
  </w:num>
  <w:num w:numId="15" w16cid:durableId="689186238">
    <w:abstractNumId w:val="28"/>
  </w:num>
  <w:num w:numId="16" w16cid:durableId="864250687">
    <w:abstractNumId w:val="24"/>
  </w:num>
  <w:num w:numId="17" w16cid:durableId="578834065">
    <w:abstractNumId w:val="26"/>
  </w:num>
  <w:num w:numId="18" w16cid:durableId="1454597719">
    <w:abstractNumId w:val="13"/>
  </w:num>
  <w:num w:numId="19" w16cid:durableId="1777866346">
    <w:abstractNumId w:val="14"/>
  </w:num>
  <w:num w:numId="20" w16cid:durableId="184515550">
    <w:abstractNumId w:val="20"/>
  </w:num>
  <w:num w:numId="21" w16cid:durableId="1363941144">
    <w:abstractNumId w:val="22"/>
  </w:num>
  <w:num w:numId="22" w16cid:durableId="595019646">
    <w:abstractNumId w:val="29"/>
  </w:num>
  <w:num w:numId="23" w16cid:durableId="1826242850">
    <w:abstractNumId w:val="3"/>
  </w:num>
  <w:num w:numId="24" w16cid:durableId="1959558734">
    <w:abstractNumId w:val="19"/>
  </w:num>
  <w:num w:numId="25" w16cid:durableId="1568028879">
    <w:abstractNumId w:val="30"/>
  </w:num>
  <w:num w:numId="26" w16cid:durableId="609748069">
    <w:abstractNumId w:val="31"/>
  </w:num>
  <w:num w:numId="27" w16cid:durableId="1491671940">
    <w:abstractNumId w:val="2"/>
  </w:num>
  <w:num w:numId="28" w16cid:durableId="1219322744">
    <w:abstractNumId w:val="17"/>
  </w:num>
  <w:num w:numId="29" w16cid:durableId="1027407982">
    <w:abstractNumId w:val="9"/>
  </w:num>
  <w:num w:numId="30" w16cid:durableId="625038646">
    <w:abstractNumId w:val="21"/>
  </w:num>
  <w:num w:numId="31" w16cid:durableId="1127579438">
    <w:abstractNumId w:val="25"/>
  </w:num>
  <w:num w:numId="32" w16cid:durableId="1344480016">
    <w:abstractNumId w:val="6"/>
  </w:num>
  <w:num w:numId="33" w16cid:durableId="13385766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CB"/>
    <w:rsid w:val="00006C10"/>
    <w:rsid w:val="00014B46"/>
    <w:rsid w:val="00015900"/>
    <w:rsid w:val="00016557"/>
    <w:rsid w:val="00016B4F"/>
    <w:rsid w:val="00022603"/>
    <w:rsid w:val="00022EF6"/>
    <w:rsid w:val="00023C40"/>
    <w:rsid w:val="00027171"/>
    <w:rsid w:val="000310F9"/>
    <w:rsid w:val="00032CF2"/>
    <w:rsid w:val="00033397"/>
    <w:rsid w:val="00040095"/>
    <w:rsid w:val="0004077E"/>
    <w:rsid w:val="00042258"/>
    <w:rsid w:val="0005261D"/>
    <w:rsid w:val="0005579E"/>
    <w:rsid w:val="000617D3"/>
    <w:rsid w:val="00065268"/>
    <w:rsid w:val="000704E8"/>
    <w:rsid w:val="00070743"/>
    <w:rsid w:val="00073C9C"/>
    <w:rsid w:val="000749F0"/>
    <w:rsid w:val="00074A32"/>
    <w:rsid w:val="00076412"/>
    <w:rsid w:val="00080512"/>
    <w:rsid w:val="0008119D"/>
    <w:rsid w:val="00085715"/>
    <w:rsid w:val="00090468"/>
    <w:rsid w:val="00094568"/>
    <w:rsid w:val="00096331"/>
    <w:rsid w:val="000A15EA"/>
    <w:rsid w:val="000A61D9"/>
    <w:rsid w:val="000A686F"/>
    <w:rsid w:val="000B3FCA"/>
    <w:rsid w:val="000B616B"/>
    <w:rsid w:val="000B632E"/>
    <w:rsid w:val="000B68B0"/>
    <w:rsid w:val="000B7BCF"/>
    <w:rsid w:val="000C522B"/>
    <w:rsid w:val="000D09AC"/>
    <w:rsid w:val="000D2F2A"/>
    <w:rsid w:val="000D520C"/>
    <w:rsid w:val="000D58AB"/>
    <w:rsid w:val="000E3D6B"/>
    <w:rsid w:val="000E65E9"/>
    <w:rsid w:val="000F19BC"/>
    <w:rsid w:val="001012C2"/>
    <w:rsid w:val="001101CC"/>
    <w:rsid w:val="00112281"/>
    <w:rsid w:val="00112F1A"/>
    <w:rsid w:val="00113222"/>
    <w:rsid w:val="0011354D"/>
    <w:rsid w:val="00117649"/>
    <w:rsid w:val="0012456F"/>
    <w:rsid w:val="001249D6"/>
    <w:rsid w:val="00124E0C"/>
    <w:rsid w:val="0012604B"/>
    <w:rsid w:val="001345FD"/>
    <w:rsid w:val="00135391"/>
    <w:rsid w:val="00145075"/>
    <w:rsid w:val="00156C6F"/>
    <w:rsid w:val="00161F40"/>
    <w:rsid w:val="00162D2A"/>
    <w:rsid w:val="001650F1"/>
    <w:rsid w:val="0016749D"/>
    <w:rsid w:val="00170529"/>
    <w:rsid w:val="001717D5"/>
    <w:rsid w:val="001741A0"/>
    <w:rsid w:val="00175FA0"/>
    <w:rsid w:val="00176FA7"/>
    <w:rsid w:val="001818C9"/>
    <w:rsid w:val="0018277D"/>
    <w:rsid w:val="001864F5"/>
    <w:rsid w:val="00191937"/>
    <w:rsid w:val="00194CD0"/>
    <w:rsid w:val="00194D53"/>
    <w:rsid w:val="00195ADA"/>
    <w:rsid w:val="001A2F02"/>
    <w:rsid w:val="001A7E97"/>
    <w:rsid w:val="001B1E3C"/>
    <w:rsid w:val="001B2A16"/>
    <w:rsid w:val="001B49C9"/>
    <w:rsid w:val="001C23F4"/>
    <w:rsid w:val="001C4F79"/>
    <w:rsid w:val="001D21DE"/>
    <w:rsid w:val="001D43A0"/>
    <w:rsid w:val="001D6791"/>
    <w:rsid w:val="001E0ECD"/>
    <w:rsid w:val="001E2B47"/>
    <w:rsid w:val="001E42F3"/>
    <w:rsid w:val="001E57A9"/>
    <w:rsid w:val="001F168B"/>
    <w:rsid w:val="001F174E"/>
    <w:rsid w:val="001F6751"/>
    <w:rsid w:val="001F7831"/>
    <w:rsid w:val="00200223"/>
    <w:rsid w:val="002004AA"/>
    <w:rsid w:val="00201AEA"/>
    <w:rsid w:val="002020DA"/>
    <w:rsid w:val="00203D15"/>
    <w:rsid w:val="00204045"/>
    <w:rsid w:val="00206169"/>
    <w:rsid w:val="0020712B"/>
    <w:rsid w:val="00207466"/>
    <w:rsid w:val="002127AC"/>
    <w:rsid w:val="002142C7"/>
    <w:rsid w:val="002224DB"/>
    <w:rsid w:val="0022265B"/>
    <w:rsid w:val="00223991"/>
    <w:rsid w:val="0022606D"/>
    <w:rsid w:val="00231728"/>
    <w:rsid w:val="00232C05"/>
    <w:rsid w:val="002332E1"/>
    <w:rsid w:val="00236774"/>
    <w:rsid w:val="00244A05"/>
    <w:rsid w:val="00244E87"/>
    <w:rsid w:val="00250404"/>
    <w:rsid w:val="00251BFA"/>
    <w:rsid w:val="00256B74"/>
    <w:rsid w:val="002610D8"/>
    <w:rsid w:val="00261B8C"/>
    <w:rsid w:val="00263421"/>
    <w:rsid w:val="0026381F"/>
    <w:rsid w:val="00270CBF"/>
    <w:rsid w:val="00271F2E"/>
    <w:rsid w:val="002743C2"/>
    <w:rsid w:val="002747EC"/>
    <w:rsid w:val="002767F2"/>
    <w:rsid w:val="00277436"/>
    <w:rsid w:val="0028141C"/>
    <w:rsid w:val="00281B14"/>
    <w:rsid w:val="002855BF"/>
    <w:rsid w:val="00290E7F"/>
    <w:rsid w:val="00297205"/>
    <w:rsid w:val="002A06E1"/>
    <w:rsid w:val="002A2947"/>
    <w:rsid w:val="002A5010"/>
    <w:rsid w:val="002B0A93"/>
    <w:rsid w:val="002B1463"/>
    <w:rsid w:val="002B2988"/>
    <w:rsid w:val="002B3E19"/>
    <w:rsid w:val="002C5B53"/>
    <w:rsid w:val="002C62DD"/>
    <w:rsid w:val="002D2F65"/>
    <w:rsid w:val="002D336A"/>
    <w:rsid w:val="002D3883"/>
    <w:rsid w:val="002D6DC3"/>
    <w:rsid w:val="002E06BF"/>
    <w:rsid w:val="002E4020"/>
    <w:rsid w:val="002E4135"/>
    <w:rsid w:val="002E6135"/>
    <w:rsid w:val="002F0D22"/>
    <w:rsid w:val="002F35F5"/>
    <w:rsid w:val="002F4839"/>
    <w:rsid w:val="002F5C61"/>
    <w:rsid w:val="00300216"/>
    <w:rsid w:val="003019B3"/>
    <w:rsid w:val="00304B7A"/>
    <w:rsid w:val="00311B17"/>
    <w:rsid w:val="00313B55"/>
    <w:rsid w:val="003143AD"/>
    <w:rsid w:val="003172DC"/>
    <w:rsid w:val="00320086"/>
    <w:rsid w:val="00323B2F"/>
    <w:rsid w:val="00325AE3"/>
    <w:rsid w:val="00326069"/>
    <w:rsid w:val="00330567"/>
    <w:rsid w:val="00333F78"/>
    <w:rsid w:val="00336DC0"/>
    <w:rsid w:val="003440DC"/>
    <w:rsid w:val="003466AF"/>
    <w:rsid w:val="0034731A"/>
    <w:rsid w:val="00351BFD"/>
    <w:rsid w:val="0035462D"/>
    <w:rsid w:val="00357036"/>
    <w:rsid w:val="0036229F"/>
    <w:rsid w:val="003632B6"/>
    <w:rsid w:val="0036459E"/>
    <w:rsid w:val="0036490C"/>
    <w:rsid w:val="00364B41"/>
    <w:rsid w:val="0036709D"/>
    <w:rsid w:val="00367D09"/>
    <w:rsid w:val="00383096"/>
    <w:rsid w:val="003868AF"/>
    <w:rsid w:val="00390FA0"/>
    <w:rsid w:val="00391AC6"/>
    <w:rsid w:val="00392A9E"/>
    <w:rsid w:val="0039336B"/>
    <w:rsid w:val="0039346C"/>
    <w:rsid w:val="0039784E"/>
    <w:rsid w:val="00397B3C"/>
    <w:rsid w:val="003A0E95"/>
    <w:rsid w:val="003A0F0F"/>
    <w:rsid w:val="003A11BE"/>
    <w:rsid w:val="003A2C5B"/>
    <w:rsid w:val="003A41EF"/>
    <w:rsid w:val="003B0143"/>
    <w:rsid w:val="003B1C5A"/>
    <w:rsid w:val="003B40AD"/>
    <w:rsid w:val="003B49C1"/>
    <w:rsid w:val="003B70EE"/>
    <w:rsid w:val="003C0404"/>
    <w:rsid w:val="003C1B72"/>
    <w:rsid w:val="003C3292"/>
    <w:rsid w:val="003C4E37"/>
    <w:rsid w:val="003C58A9"/>
    <w:rsid w:val="003C6F11"/>
    <w:rsid w:val="003C6F4D"/>
    <w:rsid w:val="003D4047"/>
    <w:rsid w:val="003D7C89"/>
    <w:rsid w:val="003E16BE"/>
    <w:rsid w:val="003E3E87"/>
    <w:rsid w:val="003E4B0D"/>
    <w:rsid w:val="003E605E"/>
    <w:rsid w:val="003E688E"/>
    <w:rsid w:val="003F2C3D"/>
    <w:rsid w:val="003F4E28"/>
    <w:rsid w:val="003F72B6"/>
    <w:rsid w:val="004006E8"/>
    <w:rsid w:val="0040097C"/>
    <w:rsid w:val="00401855"/>
    <w:rsid w:val="00402DC2"/>
    <w:rsid w:val="00403FC4"/>
    <w:rsid w:val="00404DC8"/>
    <w:rsid w:val="00407753"/>
    <w:rsid w:val="004117FC"/>
    <w:rsid w:val="00422D92"/>
    <w:rsid w:val="004270EE"/>
    <w:rsid w:val="0043337D"/>
    <w:rsid w:val="0043355C"/>
    <w:rsid w:val="00441944"/>
    <w:rsid w:val="00442B5D"/>
    <w:rsid w:val="00446C3A"/>
    <w:rsid w:val="004509E1"/>
    <w:rsid w:val="00453B6B"/>
    <w:rsid w:val="00457EBC"/>
    <w:rsid w:val="00465587"/>
    <w:rsid w:val="004702DF"/>
    <w:rsid w:val="00472E5C"/>
    <w:rsid w:val="00474058"/>
    <w:rsid w:val="00474DDB"/>
    <w:rsid w:val="00477455"/>
    <w:rsid w:val="004800DB"/>
    <w:rsid w:val="00481AEF"/>
    <w:rsid w:val="004912C6"/>
    <w:rsid w:val="00495B44"/>
    <w:rsid w:val="004A1353"/>
    <w:rsid w:val="004A1F7B"/>
    <w:rsid w:val="004A2591"/>
    <w:rsid w:val="004A7FF9"/>
    <w:rsid w:val="004C3EFA"/>
    <w:rsid w:val="004C44D2"/>
    <w:rsid w:val="004C63F1"/>
    <w:rsid w:val="004C6860"/>
    <w:rsid w:val="004D3223"/>
    <w:rsid w:val="004D3578"/>
    <w:rsid w:val="004D380D"/>
    <w:rsid w:val="004D3BCB"/>
    <w:rsid w:val="004E213A"/>
    <w:rsid w:val="004E21A7"/>
    <w:rsid w:val="004F08A2"/>
    <w:rsid w:val="004F4540"/>
    <w:rsid w:val="004F5355"/>
    <w:rsid w:val="004F6373"/>
    <w:rsid w:val="004F6FB4"/>
    <w:rsid w:val="004F73A7"/>
    <w:rsid w:val="00503171"/>
    <w:rsid w:val="00506789"/>
    <w:rsid w:val="00506C28"/>
    <w:rsid w:val="005238C0"/>
    <w:rsid w:val="00524CAA"/>
    <w:rsid w:val="00530860"/>
    <w:rsid w:val="005312DC"/>
    <w:rsid w:val="00534DA0"/>
    <w:rsid w:val="00541AEB"/>
    <w:rsid w:val="0054283D"/>
    <w:rsid w:val="00543E6C"/>
    <w:rsid w:val="00543F1D"/>
    <w:rsid w:val="005508FD"/>
    <w:rsid w:val="00556682"/>
    <w:rsid w:val="0056151A"/>
    <w:rsid w:val="005628CA"/>
    <w:rsid w:val="00562EFA"/>
    <w:rsid w:val="0056315F"/>
    <w:rsid w:val="00563D77"/>
    <w:rsid w:val="00564A13"/>
    <w:rsid w:val="00565087"/>
    <w:rsid w:val="0056573F"/>
    <w:rsid w:val="00566840"/>
    <w:rsid w:val="00571279"/>
    <w:rsid w:val="005748FD"/>
    <w:rsid w:val="00576355"/>
    <w:rsid w:val="0058129A"/>
    <w:rsid w:val="00584704"/>
    <w:rsid w:val="005925B5"/>
    <w:rsid w:val="00593AB4"/>
    <w:rsid w:val="00593D23"/>
    <w:rsid w:val="005A13AB"/>
    <w:rsid w:val="005A1A6F"/>
    <w:rsid w:val="005A2B85"/>
    <w:rsid w:val="005A441C"/>
    <w:rsid w:val="005A49C6"/>
    <w:rsid w:val="005A69E9"/>
    <w:rsid w:val="005A7BCC"/>
    <w:rsid w:val="005B2669"/>
    <w:rsid w:val="005B32A1"/>
    <w:rsid w:val="005B6A05"/>
    <w:rsid w:val="005B7F56"/>
    <w:rsid w:val="005C253D"/>
    <w:rsid w:val="005C45F3"/>
    <w:rsid w:val="005C766E"/>
    <w:rsid w:val="005C7CD5"/>
    <w:rsid w:val="005D01FA"/>
    <w:rsid w:val="005E0EC9"/>
    <w:rsid w:val="005E7333"/>
    <w:rsid w:val="005F6262"/>
    <w:rsid w:val="006032ED"/>
    <w:rsid w:val="00603B02"/>
    <w:rsid w:val="006040C8"/>
    <w:rsid w:val="00606230"/>
    <w:rsid w:val="00606BC6"/>
    <w:rsid w:val="00607803"/>
    <w:rsid w:val="00611566"/>
    <w:rsid w:val="00612B8A"/>
    <w:rsid w:val="00615825"/>
    <w:rsid w:val="006159B2"/>
    <w:rsid w:val="0062105A"/>
    <w:rsid w:val="0062416E"/>
    <w:rsid w:val="00632463"/>
    <w:rsid w:val="006333E5"/>
    <w:rsid w:val="00633A67"/>
    <w:rsid w:val="00637873"/>
    <w:rsid w:val="00637A1B"/>
    <w:rsid w:val="0064446F"/>
    <w:rsid w:val="00645708"/>
    <w:rsid w:val="00646D99"/>
    <w:rsid w:val="00653458"/>
    <w:rsid w:val="00653757"/>
    <w:rsid w:val="0065558B"/>
    <w:rsid w:val="00656910"/>
    <w:rsid w:val="006574C0"/>
    <w:rsid w:val="00661BAB"/>
    <w:rsid w:val="0066218E"/>
    <w:rsid w:val="006676CA"/>
    <w:rsid w:val="00670A66"/>
    <w:rsid w:val="00672C94"/>
    <w:rsid w:val="006759BF"/>
    <w:rsid w:val="00676592"/>
    <w:rsid w:val="0068324E"/>
    <w:rsid w:val="00684C1C"/>
    <w:rsid w:val="006853EE"/>
    <w:rsid w:val="00687717"/>
    <w:rsid w:val="00695D1A"/>
    <w:rsid w:val="00695EF4"/>
    <w:rsid w:val="00696821"/>
    <w:rsid w:val="006A151B"/>
    <w:rsid w:val="006A4990"/>
    <w:rsid w:val="006A765E"/>
    <w:rsid w:val="006B079B"/>
    <w:rsid w:val="006B1645"/>
    <w:rsid w:val="006B3091"/>
    <w:rsid w:val="006B3E0C"/>
    <w:rsid w:val="006B6B93"/>
    <w:rsid w:val="006C5300"/>
    <w:rsid w:val="006C66D8"/>
    <w:rsid w:val="006D1E24"/>
    <w:rsid w:val="006D3309"/>
    <w:rsid w:val="006D35DE"/>
    <w:rsid w:val="006D79C1"/>
    <w:rsid w:val="006E1057"/>
    <w:rsid w:val="006E1417"/>
    <w:rsid w:val="006E3F74"/>
    <w:rsid w:val="006E59A4"/>
    <w:rsid w:val="006F1C89"/>
    <w:rsid w:val="006F2FE3"/>
    <w:rsid w:val="006F6A2C"/>
    <w:rsid w:val="007046F6"/>
    <w:rsid w:val="007069DC"/>
    <w:rsid w:val="00710201"/>
    <w:rsid w:val="0072073A"/>
    <w:rsid w:val="007229EC"/>
    <w:rsid w:val="007277A0"/>
    <w:rsid w:val="00731C03"/>
    <w:rsid w:val="007342B5"/>
    <w:rsid w:val="00734A5B"/>
    <w:rsid w:val="00734F70"/>
    <w:rsid w:val="00736560"/>
    <w:rsid w:val="00737667"/>
    <w:rsid w:val="00742085"/>
    <w:rsid w:val="00744E76"/>
    <w:rsid w:val="00757D40"/>
    <w:rsid w:val="00757F96"/>
    <w:rsid w:val="00760FBE"/>
    <w:rsid w:val="00763571"/>
    <w:rsid w:val="007662B5"/>
    <w:rsid w:val="007663A2"/>
    <w:rsid w:val="007815C5"/>
    <w:rsid w:val="00781F0F"/>
    <w:rsid w:val="00782AE2"/>
    <w:rsid w:val="007840D9"/>
    <w:rsid w:val="00784CF5"/>
    <w:rsid w:val="00784F0B"/>
    <w:rsid w:val="007853A6"/>
    <w:rsid w:val="00785429"/>
    <w:rsid w:val="0078727C"/>
    <w:rsid w:val="0079049D"/>
    <w:rsid w:val="00791067"/>
    <w:rsid w:val="00793DC5"/>
    <w:rsid w:val="00795ABB"/>
    <w:rsid w:val="00796823"/>
    <w:rsid w:val="007A2E55"/>
    <w:rsid w:val="007A354D"/>
    <w:rsid w:val="007A3BE1"/>
    <w:rsid w:val="007B18D8"/>
    <w:rsid w:val="007B3C79"/>
    <w:rsid w:val="007B4BD0"/>
    <w:rsid w:val="007C095F"/>
    <w:rsid w:val="007C0E55"/>
    <w:rsid w:val="007C2DD0"/>
    <w:rsid w:val="007C2F23"/>
    <w:rsid w:val="007C62F4"/>
    <w:rsid w:val="007D0464"/>
    <w:rsid w:val="007D2B10"/>
    <w:rsid w:val="007D5369"/>
    <w:rsid w:val="007E02CB"/>
    <w:rsid w:val="007E5692"/>
    <w:rsid w:val="007E5A4E"/>
    <w:rsid w:val="007E7903"/>
    <w:rsid w:val="007F2E08"/>
    <w:rsid w:val="008003AC"/>
    <w:rsid w:val="00800B0F"/>
    <w:rsid w:val="008024FA"/>
    <w:rsid w:val="008028A4"/>
    <w:rsid w:val="00805394"/>
    <w:rsid w:val="008073F4"/>
    <w:rsid w:val="008127A1"/>
    <w:rsid w:val="00813245"/>
    <w:rsid w:val="00816BA1"/>
    <w:rsid w:val="0082155A"/>
    <w:rsid w:val="00825739"/>
    <w:rsid w:val="008300E4"/>
    <w:rsid w:val="00835F8A"/>
    <w:rsid w:val="00840983"/>
    <w:rsid w:val="00840DE0"/>
    <w:rsid w:val="00847CD0"/>
    <w:rsid w:val="00847EF5"/>
    <w:rsid w:val="0085135C"/>
    <w:rsid w:val="0085193F"/>
    <w:rsid w:val="00854C75"/>
    <w:rsid w:val="00856FEC"/>
    <w:rsid w:val="0086033B"/>
    <w:rsid w:val="008607A8"/>
    <w:rsid w:val="00861EC5"/>
    <w:rsid w:val="0086346B"/>
    <w:rsid w:val="0086354A"/>
    <w:rsid w:val="0086602D"/>
    <w:rsid w:val="008662F1"/>
    <w:rsid w:val="00871C14"/>
    <w:rsid w:val="008731E2"/>
    <w:rsid w:val="00874CA5"/>
    <w:rsid w:val="008768CA"/>
    <w:rsid w:val="00877EF9"/>
    <w:rsid w:val="00880559"/>
    <w:rsid w:val="008844A4"/>
    <w:rsid w:val="008864FC"/>
    <w:rsid w:val="00891B78"/>
    <w:rsid w:val="008927C5"/>
    <w:rsid w:val="008943D0"/>
    <w:rsid w:val="008953C0"/>
    <w:rsid w:val="008977CB"/>
    <w:rsid w:val="008A4763"/>
    <w:rsid w:val="008A4AED"/>
    <w:rsid w:val="008B4716"/>
    <w:rsid w:val="008B5306"/>
    <w:rsid w:val="008B68B8"/>
    <w:rsid w:val="008C2E2A"/>
    <w:rsid w:val="008C3057"/>
    <w:rsid w:val="008C3447"/>
    <w:rsid w:val="008C5352"/>
    <w:rsid w:val="008C727D"/>
    <w:rsid w:val="008C7706"/>
    <w:rsid w:val="008C7AA8"/>
    <w:rsid w:val="008D174B"/>
    <w:rsid w:val="008D1DF9"/>
    <w:rsid w:val="008D2E4D"/>
    <w:rsid w:val="008E2A82"/>
    <w:rsid w:val="008E2F0C"/>
    <w:rsid w:val="008E7903"/>
    <w:rsid w:val="008F396F"/>
    <w:rsid w:val="008F3DCD"/>
    <w:rsid w:val="008F42B4"/>
    <w:rsid w:val="0090271F"/>
    <w:rsid w:val="00902DB9"/>
    <w:rsid w:val="00902DBB"/>
    <w:rsid w:val="00903EA5"/>
    <w:rsid w:val="0090466A"/>
    <w:rsid w:val="00913643"/>
    <w:rsid w:val="00913738"/>
    <w:rsid w:val="00913AAD"/>
    <w:rsid w:val="009148AD"/>
    <w:rsid w:val="00915C80"/>
    <w:rsid w:val="00916D50"/>
    <w:rsid w:val="00923655"/>
    <w:rsid w:val="00924C94"/>
    <w:rsid w:val="00931217"/>
    <w:rsid w:val="009339CB"/>
    <w:rsid w:val="00935D71"/>
    <w:rsid w:val="00936071"/>
    <w:rsid w:val="009376CD"/>
    <w:rsid w:val="00937A2A"/>
    <w:rsid w:val="00940212"/>
    <w:rsid w:val="00942EC2"/>
    <w:rsid w:val="00951D03"/>
    <w:rsid w:val="0095391A"/>
    <w:rsid w:val="00954A92"/>
    <w:rsid w:val="00961B32"/>
    <w:rsid w:val="00962509"/>
    <w:rsid w:val="00964310"/>
    <w:rsid w:val="0096518D"/>
    <w:rsid w:val="0096687F"/>
    <w:rsid w:val="00970DB3"/>
    <w:rsid w:val="00973EFF"/>
    <w:rsid w:val="00974BB0"/>
    <w:rsid w:val="00974BF7"/>
    <w:rsid w:val="00975BCD"/>
    <w:rsid w:val="00980004"/>
    <w:rsid w:val="00981013"/>
    <w:rsid w:val="0098442E"/>
    <w:rsid w:val="00984CC3"/>
    <w:rsid w:val="00991075"/>
    <w:rsid w:val="009928A9"/>
    <w:rsid w:val="00996FBA"/>
    <w:rsid w:val="009A0AF3"/>
    <w:rsid w:val="009A0C7F"/>
    <w:rsid w:val="009A5A22"/>
    <w:rsid w:val="009A6781"/>
    <w:rsid w:val="009B02D6"/>
    <w:rsid w:val="009B07CD"/>
    <w:rsid w:val="009B1BAF"/>
    <w:rsid w:val="009B1D35"/>
    <w:rsid w:val="009B3EB0"/>
    <w:rsid w:val="009B4EDE"/>
    <w:rsid w:val="009B501C"/>
    <w:rsid w:val="009B61F9"/>
    <w:rsid w:val="009B6FF0"/>
    <w:rsid w:val="009C0365"/>
    <w:rsid w:val="009C1150"/>
    <w:rsid w:val="009C19E9"/>
    <w:rsid w:val="009C4965"/>
    <w:rsid w:val="009C4B9E"/>
    <w:rsid w:val="009D231E"/>
    <w:rsid w:val="009D3E53"/>
    <w:rsid w:val="009D74A6"/>
    <w:rsid w:val="009E0E87"/>
    <w:rsid w:val="009E16F4"/>
    <w:rsid w:val="009E6AEC"/>
    <w:rsid w:val="009F47DF"/>
    <w:rsid w:val="009F57DE"/>
    <w:rsid w:val="00A047AB"/>
    <w:rsid w:val="00A04E33"/>
    <w:rsid w:val="00A07083"/>
    <w:rsid w:val="00A07E3C"/>
    <w:rsid w:val="00A10577"/>
    <w:rsid w:val="00A10F02"/>
    <w:rsid w:val="00A12A10"/>
    <w:rsid w:val="00A12A28"/>
    <w:rsid w:val="00A12FA7"/>
    <w:rsid w:val="00A13DAA"/>
    <w:rsid w:val="00A204CA"/>
    <w:rsid w:val="00A209D6"/>
    <w:rsid w:val="00A22738"/>
    <w:rsid w:val="00A231A0"/>
    <w:rsid w:val="00A23AAF"/>
    <w:rsid w:val="00A31AB7"/>
    <w:rsid w:val="00A33CC1"/>
    <w:rsid w:val="00A36F5F"/>
    <w:rsid w:val="00A401CF"/>
    <w:rsid w:val="00A430EC"/>
    <w:rsid w:val="00A46D07"/>
    <w:rsid w:val="00A53724"/>
    <w:rsid w:val="00A53D2C"/>
    <w:rsid w:val="00A54B2B"/>
    <w:rsid w:val="00A54FDA"/>
    <w:rsid w:val="00A61084"/>
    <w:rsid w:val="00A703B6"/>
    <w:rsid w:val="00A72875"/>
    <w:rsid w:val="00A72A51"/>
    <w:rsid w:val="00A72D48"/>
    <w:rsid w:val="00A75191"/>
    <w:rsid w:val="00A779E0"/>
    <w:rsid w:val="00A82346"/>
    <w:rsid w:val="00A850B7"/>
    <w:rsid w:val="00A85FF5"/>
    <w:rsid w:val="00A86438"/>
    <w:rsid w:val="00A86DB6"/>
    <w:rsid w:val="00A90039"/>
    <w:rsid w:val="00A935CA"/>
    <w:rsid w:val="00A954F3"/>
    <w:rsid w:val="00A9554C"/>
    <w:rsid w:val="00A95674"/>
    <w:rsid w:val="00A964E9"/>
    <w:rsid w:val="00A9671C"/>
    <w:rsid w:val="00A96BED"/>
    <w:rsid w:val="00A97B41"/>
    <w:rsid w:val="00AA1553"/>
    <w:rsid w:val="00AA2402"/>
    <w:rsid w:val="00AA2448"/>
    <w:rsid w:val="00AA3D6E"/>
    <w:rsid w:val="00AA73B6"/>
    <w:rsid w:val="00AB04F3"/>
    <w:rsid w:val="00AB4E5D"/>
    <w:rsid w:val="00AB5C94"/>
    <w:rsid w:val="00AC0202"/>
    <w:rsid w:val="00AC4E93"/>
    <w:rsid w:val="00AD4241"/>
    <w:rsid w:val="00AD51AC"/>
    <w:rsid w:val="00AD596D"/>
    <w:rsid w:val="00AD7433"/>
    <w:rsid w:val="00AE258C"/>
    <w:rsid w:val="00AE7CF8"/>
    <w:rsid w:val="00AF2196"/>
    <w:rsid w:val="00AF3807"/>
    <w:rsid w:val="00B010BA"/>
    <w:rsid w:val="00B02EC1"/>
    <w:rsid w:val="00B05380"/>
    <w:rsid w:val="00B05962"/>
    <w:rsid w:val="00B05AFC"/>
    <w:rsid w:val="00B068D1"/>
    <w:rsid w:val="00B10AE6"/>
    <w:rsid w:val="00B12682"/>
    <w:rsid w:val="00B12D7C"/>
    <w:rsid w:val="00B15449"/>
    <w:rsid w:val="00B167A8"/>
    <w:rsid w:val="00B16C2F"/>
    <w:rsid w:val="00B1790B"/>
    <w:rsid w:val="00B21A40"/>
    <w:rsid w:val="00B24070"/>
    <w:rsid w:val="00B27303"/>
    <w:rsid w:val="00B30AD0"/>
    <w:rsid w:val="00B35578"/>
    <w:rsid w:val="00B35F5B"/>
    <w:rsid w:val="00B41DA7"/>
    <w:rsid w:val="00B47FD1"/>
    <w:rsid w:val="00B50282"/>
    <w:rsid w:val="00B50863"/>
    <w:rsid w:val="00B516BB"/>
    <w:rsid w:val="00B64607"/>
    <w:rsid w:val="00B6553C"/>
    <w:rsid w:val="00B7049F"/>
    <w:rsid w:val="00B706E3"/>
    <w:rsid w:val="00B7076E"/>
    <w:rsid w:val="00B7538C"/>
    <w:rsid w:val="00B84786"/>
    <w:rsid w:val="00B84DB2"/>
    <w:rsid w:val="00B87262"/>
    <w:rsid w:val="00B912A2"/>
    <w:rsid w:val="00B91B86"/>
    <w:rsid w:val="00B91BC0"/>
    <w:rsid w:val="00B92592"/>
    <w:rsid w:val="00BA11E5"/>
    <w:rsid w:val="00BA502C"/>
    <w:rsid w:val="00BB0BF0"/>
    <w:rsid w:val="00BB1841"/>
    <w:rsid w:val="00BB221B"/>
    <w:rsid w:val="00BC0D8A"/>
    <w:rsid w:val="00BC29D7"/>
    <w:rsid w:val="00BC3555"/>
    <w:rsid w:val="00BC73D3"/>
    <w:rsid w:val="00BE08B0"/>
    <w:rsid w:val="00BE42E4"/>
    <w:rsid w:val="00BE51C7"/>
    <w:rsid w:val="00BE5935"/>
    <w:rsid w:val="00BE6CF0"/>
    <w:rsid w:val="00BF4609"/>
    <w:rsid w:val="00BF5624"/>
    <w:rsid w:val="00C01FE4"/>
    <w:rsid w:val="00C0280F"/>
    <w:rsid w:val="00C03652"/>
    <w:rsid w:val="00C12B51"/>
    <w:rsid w:val="00C13439"/>
    <w:rsid w:val="00C16305"/>
    <w:rsid w:val="00C163B7"/>
    <w:rsid w:val="00C22113"/>
    <w:rsid w:val="00C24650"/>
    <w:rsid w:val="00C25465"/>
    <w:rsid w:val="00C33079"/>
    <w:rsid w:val="00C3565D"/>
    <w:rsid w:val="00C421CC"/>
    <w:rsid w:val="00C43CD4"/>
    <w:rsid w:val="00C44A46"/>
    <w:rsid w:val="00C53C27"/>
    <w:rsid w:val="00C55797"/>
    <w:rsid w:val="00C55A12"/>
    <w:rsid w:val="00C57F57"/>
    <w:rsid w:val="00C615E0"/>
    <w:rsid w:val="00C64E2F"/>
    <w:rsid w:val="00C6553E"/>
    <w:rsid w:val="00C7249D"/>
    <w:rsid w:val="00C72CC0"/>
    <w:rsid w:val="00C73160"/>
    <w:rsid w:val="00C77453"/>
    <w:rsid w:val="00C778B7"/>
    <w:rsid w:val="00C83A13"/>
    <w:rsid w:val="00C84C87"/>
    <w:rsid w:val="00C86F10"/>
    <w:rsid w:val="00C87A4A"/>
    <w:rsid w:val="00C9068C"/>
    <w:rsid w:val="00C91ABA"/>
    <w:rsid w:val="00C92967"/>
    <w:rsid w:val="00C93824"/>
    <w:rsid w:val="00C979D4"/>
    <w:rsid w:val="00CA3375"/>
    <w:rsid w:val="00CA3D0C"/>
    <w:rsid w:val="00CA654B"/>
    <w:rsid w:val="00CA6D1A"/>
    <w:rsid w:val="00CA7891"/>
    <w:rsid w:val="00CA7FB4"/>
    <w:rsid w:val="00CB12F3"/>
    <w:rsid w:val="00CB6E8A"/>
    <w:rsid w:val="00CB6F8B"/>
    <w:rsid w:val="00CB72B8"/>
    <w:rsid w:val="00CC2597"/>
    <w:rsid w:val="00CC4461"/>
    <w:rsid w:val="00CC62DF"/>
    <w:rsid w:val="00CD0BA8"/>
    <w:rsid w:val="00CD307E"/>
    <w:rsid w:val="00CD4C7B"/>
    <w:rsid w:val="00CD57C3"/>
    <w:rsid w:val="00CD58FE"/>
    <w:rsid w:val="00CD5EE7"/>
    <w:rsid w:val="00CD7AA1"/>
    <w:rsid w:val="00CE0684"/>
    <w:rsid w:val="00CE6B8A"/>
    <w:rsid w:val="00CF6861"/>
    <w:rsid w:val="00D00528"/>
    <w:rsid w:val="00D07426"/>
    <w:rsid w:val="00D11DC6"/>
    <w:rsid w:val="00D13647"/>
    <w:rsid w:val="00D13F49"/>
    <w:rsid w:val="00D17160"/>
    <w:rsid w:val="00D21567"/>
    <w:rsid w:val="00D22325"/>
    <w:rsid w:val="00D229AF"/>
    <w:rsid w:val="00D25278"/>
    <w:rsid w:val="00D316A5"/>
    <w:rsid w:val="00D31C93"/>
    <w:rsid w:val="00D33BE3"/>
    <w:rsid w:val="00D34773"/>
    <w:rsid w:val="00D3792D"/>
    <w:rsid w:val="00D43CC1"/>
    <w:rsid w:val="00D47B80"/>
    <w:rsid w:val="00D504D4"/>
    <w:rsid w:val="00D55029"/>
    <w:rsid w:val="00D55B20"/>
    <w:rsid w:val="00D55E47"/>
    <w:rsid w:val="00D56113"/>
    <w:rsid w:val="00D61A53"/>
    <w:rsid w:val="00D62A9F"/>
    <w:rsid w:val="00D62E19"/>
    <w:rsid w:val="00D655B2"/>
    <w:rsid w:val="00D66F82"/>
    <w:rsid w:val="00D67CD1"/>
    <w:rsid w:val="00D7083B"/>
    <w:rsid w:val="00D70966"/>
    <w:rsid w:val="00D72EB1"/>
    <w:rsid w:val="00D73761"/>
    <w:rsid w:val="00D738D6"/>
    <w:rsid w:val="00D75B84"/>
    <w:rsid w:val="00D80795"/>
    <w:rsid w:val="00D81F94"/>
    <w:rsid w:val="00D831C9"/>
    <w:rsid w:val="00D836DF"/>
    <w:rsid w:val="00D854BE"/>
    <w:rsid w:val="00D87E00"/>
    <w:rsid w:val="00D90C65"/>
    <w:rsid w:val="00D9134D"/>
    <w:rsid w:val="00D92900"/>
    <w:rsid w:val="00D96D11"/>
    <w:rsid w:val="00DA1802"/>
    <w:rsid w:val="00DA516E"/>
    <w:rsid w:val="00DA5200"/>
    <w:rsid w:val="00DA7A03"/>
    <w:rsid w:val="00DB0D95"/>
    <w:rsid w:val="00DB0DB8"/>
    <w:rsid w:val="00DB1818"/>
    <w:rsid w:val="00DB1E5E"/>
    <w:rsid w:val="00DB3ECF"/>
    <w:rsid w:val="00DC2E56"/>
    <w:rsid w:val="00DC309B"/>
    <w:rsid w:val="00DC4DA2"/>
    <w:rsid w:val="00DC5002"/>
    <w:rsid w:val="00DC5261"/>
    <w:rsid w:val="00DD71C4"/>
    <w:rsid w:val="00DE25D2"/>
    <w:rsid w:val="00DE2B92"/>
    <w:rsid w:val="00DE3B76"/>
    <w:rsid w:val="00DE4310"/>
    <w:rsid w:val="00DE76F3"/>
    <w:rsid w:val="00DE7D81"/>
    <w:rsid w:val="00DF3251"/>
    <w:rsid w:val="00DF39D2"/>
    <w:rsid w:val="00DF6181"/>
    <w:rsid w:val="00DF7C20"/>
    <w:rsid w:val="00E06B95"/>
    <w:rsid w:val="00E109EE"/>
    <w:rsid w:val="00E1253B"/>
    <w:rsid w:val="00E167F4"/>
    <w:rsid w:val="00E20DCD"/>
    <w:rsid w:val="00E22CE9"/>
    <w:rsid w:val="00E23DEC"/>
    <w:rsid w:val="00E27DA2"/>
    <w:rsid w:val="00E449B0"/>
    <w:rsid w:val="00E46428"/>
    <w:rsid w:val="00E46C08"/>
    <w:rsid w:val="00E471CF"/>
    <w:rsid w:val="00E5003D"/>
    <w:rsid w:val="00E60F2B"/>
    <w:rsid w:val="00E62835"/>
    <w:rsid w:val="00E65339"/>
    <w:rsid w:val="00E65549"/>
    <w:rsid w:val="00E657A9"/>
    <w:rsid w:val="00E659E2"/>
    <w:rsid w:val="00E67143"/>
    <w:rsid w:val="00E70602"/>
    <w:rsid w:val="00E7176A"/>
    <w:rsid w:val="00E72D02"/>
    <w:rsid w:val="00E73893"/>
    <w:rsid w:val="00E7529E"/>
    <w:rsid w:val="00E77645"/>
    <w:rsid w:val="00E81116"/>
    <w:rsid w:val="00E81A9B"/>
    <w:rsid w:val="00E82CE0"/>
    <w:rsid w:val="00E83697"/>
    <w:rsid w:val="00E859B6"/>
    <w:rsid w:val="00E867A9"/>
    <w:rsid w:val="00E87520"/>
    <w:rsid w:val="00E96A91"/>
    <w:rsid w:val="00E97A25"/>
    <w:rsid w:val="00EA1258"/>
    <w:rsid w:val="00EA3A33"/>
    <w:rsid w:val="00EA3B8E"/>
    <w:rsid w:val="00EA52CE"/>
    <w:rsid w:val="00EA542A"/>
    <w:rsid w:val="00EA66C9"/>
    <w:rsid w:val="00EB5D32"/>
    <w:rsid w:val="00EB726A"/>
    <w:rsid w:val="00EC4A25"/>
    <w:rsid w:val="00EC56F1"/>
    <w:rsid w:val="00ED2D3E"/>
    <w:rsid w:val="00EE604D"/>
    <w:rsid w:val="00EF1DCA"/>
    <w:rsid w:val="00EF551D"/>
    <w:rsid w:val="00EF612C"/>
    <w:rsid w:val="00EF7508"/>
    <w:rsid w:val="00EF7723"/>
    <w:rsid w:val="00F025A2"/>
    <w:rsid w:val="00F03561"/>
    <w:rsid w:val="00F036E9"/>
    <w:rsid w:val="00F07388"/>
    <w:rsid w:val="00F1195B"/>
    <w:rsid w:val="00F14076"/>
    <w:rsid w:val="00F14287"/>
    <w:rsid w:val="00F16E28"/>
    <w:rsid w:val="00F200CD"/>
    <w:rsid w:val="00F2026E"/>
    <w:rsid w:val="00F20978"/>
    <w:rsid w:val="00F2210A"/>
    <w:rsid w:val="00F2241B"/>
    <w:rsid w:val="00F23B0B"/>
    <w:rsid w:val="00F26D15"/>
    <w:rsid w:val="00F2782A"/>
    <w:rsid w:val="00F27B1D"/>
    <w:rsid w:val="00F31372"/>
    <w:rsid w:val="00F36C25"/>
    <w:rsid w:val="00F36F02"/>
    <w:rsid w:val="00F37743"/>
    <w:rsid w:val="00F41B17"/>
    <w:rsid w:val="00F43FA5"/>
    <w:rsid w:val="00F54963"/>
    <w:rsid w:val="00F54A3D"/>
    <w:rsid w:val="00F54CB0"/>
    <w:rsid w:val="00F564B1"/>
    <w:rsid w:val="00F579CD"/>
    <w:rsid w:val="00F653B8"/>
    <w:rsid w:val="00F71B89"/>
    <w:rsid w:val="00F7353C"/>
    <w:rsid w:val="00F75E74"/>
    <w:rsid w:val="00F76F8F"/>
    <w:rsid w:val="00F83068"/>
    <w:rsid w:val="00F83C54"/>
    <w:rsid w:val="00F85B86"/>
    <w:rsid w:val="00F86A92"/>
    <w:rsid w:val="00F86B38"/>
    <w:rsid w:val="00F87257"/>
    <w:rsid w:val="00F91AE9"/>
    <w:rsid w:val="00F941DF"/>
    <w:rsid w:val="00F943DF"/>
    <w:rsid w:val="00FA1203"/>
    <w:rsid w:val="00FA1266"/>
    <w:rsid w:val="00FA6AD8"/>
    <w:rsid w:val="00FA797B"/>
    <w:rsid w:val="00FB2ADC"/>
    <w:rsid w:val="00FB36FA"/>
    <w:rsid w:val="00FB3DFF"/>
    <w:rsid w:val="00FB62FA"/>
    <w:rsid w:val="00FB7555"/>
    <w:rsid w:val="00FC1192"/>
    <w:rsid w:val="00FC7597"/>
    <w:rsid w:val="00FD0267"/>
    <w:rsid w:val="00FD05A4"/>
    <w:rsid w:val="00FD52B4"/>
    <w:rsid w:val="00FE0CF1"/>
    <w:rsid w:val="00FE106D"/>
    <w:rsid w:val="00FE14E0"/>
    <w:rsid w:val="00FE251B"/>
    <w:rsid w:val="00FE2ABD"/>
    <w:rsid w:val="00FE2E05"/>
    <w:rsid w:val="00FE3D50"/>
    <w:rsid w:val="00FE679E"/>
    <w:rsid w:val="00FE69D8"/>
    <w:rsid w:val="00FF10F2"/>
    <w:rsid w:val="00FF79A0"/>
    <w:rsid w:val="00FF7E85"/>
    <w:rsid w:val="0E2F4F5F"/>
    <w:rsid w:val="0FC396FA"/>
    <w:rsid w:val="191F6B52"/>
    <w:rsid w:val="1FCA92A7"/>
    <w:rsid w:val="25A877A0"/>
    <w:rsid w:val="28E01862"/>
    <w:rsid w:val="2A5E4175"/>
    <w:rsid w:val="3231FBAD"/>
    <w:rsid w:val="3283C4EF"/>
    <w:rsid w:val="3D1F35A6"/>
    <w:rsid w:val="42C32381"/>
    <w:rsid w:val="48598958"/>
    <w:rsid w:val="4B29490C"/>
    <w:rsid w:val="574FCC26"/>
    <w:rsid w:val="5D238441"/>
    <w:rsid w:val="5EA62C45"/>
    <w:rsid w:val="5EBFA675"/>
    <w:rsid w:val="614C2638"/>
    <w:rsid w:val="61DDCD07"/>
    <w:rsid w:val="6626D3BE"/>
    <w:rsid w:val="67497773"/>
    <w:rsid w:val="6B146726"/>
    <w:rsid w:val="6CA623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7B58AD8-8351-48D4-A26A-445722E0D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E59A4"/>
    <w:pPr>
      <w:ind w:left="720"/>
      <w:contextualSpacing/>
    </w:pPr>
  </w:style>
  <w:style w:type="character" w:styleId="CommentReference">
    <w:name w:val="annotation reference"/>
    <w:basedOn w:val="DefaultParagraphFont"/>
    <w:rsid w:val="00C615E0"/>
    <w:rPr>
      <w:sz w:val="16"/>
      <w:szCs w:val="16"/>
    </w:rPr>
  </w:style>
  <w:style w:type="paragraph" w:styleId="CommentText">
    <w:name w:val="annotation text"/>
    <w:basedOn w:val="Normal"/>
    <w:link w:val="CommentTextChar"/>
    <w:rsid w:val="00C615E0"/>
  </w:style>
  <w:style w:type="character" w:customStyle="1" w:styleId="CommentTextChar">
    <w:name w:val="Comment Text Char"/>
    <w:basedOn w:val="DefaultParagraphFont"/>
    <w:link w:val="CommentText"/>
    <w:rsid w:val="00C615E0"/>
    <w:rPr>
      <w:lang w:eastAsia="en-US"/>
    </w:rPr>
  </w:style>
  <w:style w:type="paragraph" w:styleId="CommentSubject">
    <w:name w:val="annotation subject"/>
    <w:basedOn w:val="CommentText"/>
    <w:next w:val="CommentText"/>
    <w:link w:val="CommentSubjectChar"/>
    <w:rsid w:val="00C615E0"/>
    <w:rPr>
      <w:b/>
      <w:bCs/>
    </w:rPr>
  </w:style>
  <w:style w:type="character" w:customStyle="1" w:styleId="CommentSubjectChar">
    <w:name w:val="Comment Subject Char"/>
    <w:basedOn w:val="CommentTextChar"/>
    <w:link w:val="CommentSubject"/>
    <w:rsid w:val="00C615E0"/>
    <w:rPr>
      <w:b/>
      <w:bCs/>
      <w:lang w:eastAsia="en-US"/>
    </w:rPr>
  </w:style>
  <w:style w:type="table" w:styleId="TableGrid">
    <w:name w:val="Table Grid"/>
    <w:basedOn w:val="TableNormal"/>
    <w:rsid w:val="00830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D2F65"/>
    <w:rPr>
      <w:color w:val="2B579A"/>
      <w:shd w:val="clear" w:color="auto" w:fill="E1DFDD"/>
    </w:rPr>
  </w:style>
  <w:style w:type="paragraph" w:styleId="Caption">
    <w:name w:val="caption"/>
    <w:basedOn w:val="Normal"/>
    <w:next w:val="Normal"/>
    <w:unhideWhenUsed/>
    <w:qFormat/>
    <w:rsid w:val="00B1790B"/>
    <w:pPr>
      <w:spacing w:after="200"/>
    </w:pPr>
    <w:rPr>
      <w:i/>
      <w:iCs/>
      <w:color w:val="44546A" w:themeColor="text2"/>
      <w:sz w:val="18"/>
      <w:szCs w:val="18"/>
    </w:rPr>
  </w:style>
  <w:style w:type="character" w:styleId="FollowedHyperlink">
    <w:name w:val="FollowedHyperlink"/>
    <w:basedOn w:val="DefaultParagraphFont"/>
    <w:rsid w:val="00CE6B8A"/>
    <w:rPr>
      <w:color w:val="954F72" w:themeColor="followedHyperlink"/>
      <w:u w:val="single"/>
    </w:rPr>
  </w:style>
  <w:style w:type="paragraph" w:customStyle="1" w:styleId="Doc-title">
    <w:name w:val="Doc-title"/>
    <w:basedOn w:val="Normal"/>
    <w:next w:val="Doc-text2"/>
    <w:link w:val="Doc-titleChar"/>
    <w:qFormat/>
    <w:rsid w:val="00AE258C"/>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AE25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E258C"/>
    <w:rPr>
      <w:rFonts w:ascii="Arial" w:eastAsia="MS Mincho" w:hAnsi="Arial"/>
      <w:szCs w:val="24"/>
    </w:rPr>
  </w:style>
  <w:style w:type="character" w:customStyle="1" w:styleId="Doc-titleChar">
    <w:name w:val="Doc-title Char"/>
    <w:link w:val="Doc-title"/>
    <w:qFormat/>
    <w:rsid w:val="00AE258C"/>
    <w:rPr>
      <w:rFonts w:ascii="Arial" w:eastAsia="MS Mincho" w:hAnsi="Arial"/>
      <w:noProof/>
      <w:szCs w:val="24"/>
    </w:rPr>
  </w:style>
  <w:style w:type="paragraph" w:customStyle="1" w:styleId="Comments">
    <w:name w:val="Comments"/>
    <w:basedOn w:val="Normal"/>
    <w:link w:val="CommentsChar"/>
    <w:qFormat/>
    <w:rsid w:val="00AE258C"/>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E258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6914">
      <w:bodyDiv w:val="1"/>
      <w:marLeft w:val="0"/>
      <w:marRight w:val="0"/>
      <w:marTop w:val="0"/>
      <w:marBottom w:val="0"/>
      <w:divBdr>
        <w:top w:val="none" w:sz="0" w:space="0" w:color="auto"/>
        <w:left w:val="none" w:sz="0" w:space="0" w:color="auto"/>
        <w:bottom w:val="none" w:sz="0" w:space="0" w:color="auto"/>
        <w:right w:val="none" w:sz="0" w:space="0" w:color="auto"/>
      </w:divBdr>
      <w:divsChild>
        <w:div w:id="166136995">
          <w:marLeft w:val="446"/>
          <w:marRight w:val="0"/>
          <w:marTop w:val="0"/>
          <w:marBottom w:val="120"/>
          <w:divBdr>
            <w:top w:val="none" w:sz="0" w:space="0" w:color="auto"/>
            <w:left w:val="none" w:sz="0" w:space="0" w:color="auto"/>
            <w:bottom w:val="none" w:sz="0" w:space="0" w:color="auto"/>
            <w:right w:val="none" w:sz="0" w:space="0" w:color="auto"/>
          </w:divBdr>
        </w:div>
        <w:div w:id="438989111">
          <w:marLeft w:val="446"/>
          <w:marRight w:val="0"/>
          <w:marTop w:val="0"/>
          <w:marBottom w:val="120"/>
          <w:divBdr>
            <w:top w:val="none" w:sz="0" w:space="0" w:color="auto"/>
            <w:left w:val="none" w:sz="0" w:space="0" w:color="auto"/>
            <w:bottom w:val="none" w:sz="0" w:space="0" w:color="auto"/>
            <w:right w:val="none" w:sz="0" w:space="0" w:color="auto"/>
          </w:divBdr>
        </w:div>
        <w:div w:id="1007370613">
          <w:marLeft w:val="446"/>
          <w:marRight w:val="0"/>
          <w:marTop w:val="0"/>
          <w:marBottom w:val="120"/>
          <w:divBdr>
            <w:top w:val="none" w:sz="0" w:space="0" w:color="auto"/>
            <w:left w:val="none" w:sz="0" w:space="0" w:color="auto"/>
            <w:bottom w:val="none" w:sz="0" w:space="0" w:color="auto"/>
            <w:right w:val="none" w:sz="0" w:space="0" w:color="auto"/>
          </w:divBdr>
        </w:div>
        <w:div w:id="1314260720">
          <w:marLeft w:val="806"/>
          <w:marRight w:val="0"/>
          <w:marTop w:val="0"/>
          <w:marBottom w:val="120"/>
          <w:divBdr>
            <w:top w:val="none" w:sz="0" w:space="0" w:color="auto"/>
            <w:left w:val="none" w:sz="0" w:space="0" w:color="auto"/>
            <w:bottom w:val="none" w:sz="0" w:space="0" w:color="auto"/>
            <w:right w:val="none" w:sz="0" w:space="0" w:color="auto"/>
          </w:divBdr>
        </w:div>
        <w:div w:id="1559167899">
          <w:marLeft w:val="446"/>
          <w:marRight w:val="0"/>
          <w:marTop w:val="0"/>
          <w:marBottom w:val="120"/>
          <w:divBdr>
            <w:top w:val="none" w:sz="0" w:space="0" w:color="auto"/>
            <w:left w:val="none" w:sz="0" w:space="0" w:color="auto"/>
            <w:bottom w:val="none" w:sz="0" w:space="0" w:color="auto"/>
            <w:right w:val="none" w:sz="0" w:space="0" w:color="auto"/>
          </w:divBdr>
        </w:div>
        <w:div w:id="1760329567">
          <w:marLeft w:val="446"/>
          <w:marRight w:val="0"/>
          <w:marTop w:val="0"/>
          <w:marBottom w:val="120"/>
          <w:divBdr>
            <w:top w:val="none" w:sz="0" w:space="0" w:color="auto"/>
            <w:left w:val="none" w:sz="0" w:space="0" w:color="auto"/>
            <w:bottom w:val="none" w:sz="0" w:space="0" w:color="auto"/>
            <w:right w:val="none" w:sz="0" w:space="0" w:color="auto"/>
          </w:divBdr>
        </w:div>
        <w:div w:id="1780636870">
          <w:marLeft w:val="806"/>
          <w:marRight w:val="0"/>
          <w:marTop w:val="0"/>
          <w:marBottom w:val="120"/>
          <w:divBdr>
            <w:top w:val="none" w:sz="0" w:space="0" w:color="auto"/>
            <w:left w:val="none" w:sz="0" w:space="0" w:color="auto"/>
            <w:bottom w:val="none" w:sz="0" w:space="0" w:color="auto"/>
            <w:right w:val="none" w:sz="0" w:space="0" w:color="auto"/>
          </w:divBdr>
        </w:div>
        <w:div w:id="1993438754">
          <w:marLeft w:val="446"/>
          <w:marRight w:val="0"/>
          <w:marTop w:val="0"/>
          <w:marBottom w:val="120"/>
          <w:divBdr>
            <w:top w:val="none" w:sz="0" w:space="0" w:color="auto"/>
            <w:left w:val="none" w:sz="0" w:space="0" w:color="auto"/>
            <w:bottom w:val="none" w:sz="0" w:space="0" w:color="auto"/>
            <w:right w:val="none" w:sz="0" w:space="0" w:color="auto"/>
          </w:divBdr>
        </w:div>
      </w:divsChild>
    </w:div>
    <w:div w:id="286813108">
      <w:bodyDiv w:val="1"/>
      <w:marLeft w:val="0"/>
      <w:marRight w:val="0"/>
      <w:marTop w:val="0"/>
      <w:marBottom w:val="0"/>
      <w:divBdr>
        <w:top w:val="none" w:sz="0" w:space="0" w:color="auto"/>
        <w:left w:val="none" w:sz="0" w:space="0" w:color="auto"/>
        <w:bottom w:val="none" w:sz="0" w:space="0" w:color="auto"/>
        <w:right w:val="none" w:sz="0" w:space="0" w:color="auto"/>
      </w:divBdr>
    </w:div>
    <w:div w:id="395863393">
      <w:bodyDiv w:val="1"/>
      <w:marLeft w:val="0"/>
      <w:marRight w:val="0"/>
      <w:marTop w:val="0"/>
      <w:marBottom w:val="0"/>
      <w:divBdr>
        <w:top w:val="none" w:sz="0" w:space="0" w:color="auto"/>
        <w:left w:val="none" w:sz="0" w:space="0" w:color="auto"/>
        <w:bottom w:val="none" w:sz="0" w:space="0" w:color="auto"/>
        <w:right w:val="none" w:sz="0" w:space="0" w:color="auto"/>
      </w:divBdr>
      <w:divsChild>
        <w:div w:id="594363871">
          <w:marLeft w:val="547"/>
          <w:marRight w:val="0"/>
          <w:marTop w:val="0"/>
          <w:marBottom w:val="120"/>
          <w:divBdr>
            <w:top w:val="none" w:sz="0" w:space="0" w:color="auto"/>
            <w:left w:val="none" w:sz="0" w:space="0" w:color="auto"/>
            <w:bottom w:val="none" w:sz="0" w:space="0" w:color="auto"/>
            <w:right w:val="none" w:sz="0" w:space="0" w:color="auto"/>
          </w:divBdr>
        </w:div>
        <w:div w:id="606691276">
          <w:marLeft w:val="547"/>
          <w:marRight w:val="0"/>
          <w:marTop w:val="0"/>
          <w:marBottom w:val="120"/>
          <w:divBdr>
            <w:top w:val="none" w:sz="0" w:space="0" w:color="auto"/>
            <w:left w:val="none" w:sz="0" w:space="0" w:color="auto"/>
            <w:bottom w:val="none" w:sz="0" w:space="0" w:color="auto"/>
            <w:right w:val="none" w:sz="0" w:space="0" w:color="auto"/>
          </w:divBdr>
        </w:div>
        <w:div w:id="804079765">
          <w:marLeft w:val="446"/>
          <w:marRight w:val="0"/>
          <w:marTop w:val="0"/>
          <w:marBottom w:val="120"/>
          <w:divBdr>
            <w:top w:val="none" w:sz="0" w:space="0" w:color="auto"/>
            <w:left w:val="none" w:sz="0" w:space="0" w:color="auto"/>
            <w:bottom w:val="none" w:sz="0" w:space="0" w:color="auto"/>
            <w:right w:val="none" w:sz="0" w:space="0" w:color="auto"/>
          </w:divBdr>
        </w:div>
        <w:div w:id="882865500">
          <w:marLeft w:val="446"/>
          <w:marRight w:val="0"/>
          <w:marTop w:val="0"/>
          <w:marBottom w:val="120"/>
          <w:divBdr>
            <w:top w:val="none" w:sz="0" w:space="0" w:color="auto"/>
            <w:left w:val="none" w:sz="0" w:space="0" w:color="auto"/>
            <w:bottom w:val="none" w:sz="0" w:space="0" w:color="auto"/>
            <w:right w:val="none" w:sz="0" w:space="0" w:color="auto"/>
          </w:divBdr>
        </w:div>
        <w:div w:id="1294943383">
          <w:marLeft w:val="806"/>
          <w:marRight w:val="0"/>
          <w:marTop w:val="0"/>
          <w:marBottom w:val="120"/>
          <w:divBdr>
            <w:top w:val="none" w:sz="0" w:space="0" w:color="auto"/>
            <w:left w:val="none" w:sz="0" w:space="0" w:color="auto"/>
            <w:bottom w:val="none" w:sz="0" w:space="0" w:color="auto"/>
            <w:right w:val="none" w:sz="0" w:space="0" w:color="auto"/>
          </w:divBdr>
        </w:div>
        <w:div w:id="1576090564">
          <w:marLeft w:val="806"/>
          <w:marRight w:val="0"/>
          <w:marTop w:val="0"/>
          <w:marBottom w:val="120"/>
          <w:divBdr>
            <w:top w:val="none" w:sz="0" w:space="0" w:color="auto"/>
            <w:left w:val="none" w:sz="0" w:space="0" w:color="auto"/>
            <w:bottom w:val="none" w:sz="0" w:space="0" w:color="auto"/>
            <w:right w:val="none" w:sz="0" w:space="0" w:color="auto"/>
          </w:divBdr>
        </w:div>
        <w:div w:id="1592620458">
          <w:marLeft w:val="806"/>
          <w:marRight w:val="0"/>
          <w:marTop w:val="0"/>
          <w:marBottom w:val="120"/>
          <w:divBdr>
            <w:top w:val="none" w:sz="0" w:space="0" w:color="auto"/>
            <w:left w:val="none" w:sz="0" w:space="0" w:color="auto"/>
            <w:bottom w:val="none" w:sz="0" w:space="0" w:color="auto"/>
            <w:right w:val="none" w:sz="0" w:space="0" w:color="auto"/>
          </w:divBdr>
        </w:div>
        <w:div w:id="1699894798">
          <w:marLeft w:val="446"/>
          <w:marRight w:val="0"/>
          <w:marTop w:val="0"/>
          <w:marBottom w:val="120"/>
          <w:divBdr>
            <w:top w:val="none" w:sz="0" w:space="0" w:color="auto"/>
            <w:left w:val="none" w:sz="0" w:space="0" w:color="auto"/>
            <w:bottom w:val="none" w:sz="0" w:space="0" w:color="auto"/>
            <w:right w:val="none" w:sz="0" w:space="0" w:color="auto"/>
          </w:divBdr>
        </w:div>
        <w:div w:id="1949191582">
          <w:marLeft w:val="806"/>
          <w:marRight w:val="0"/>
          <w:marTop w:val="0"/>
          <w:marBottom w:val="120"/>
          <w:divBdr>
            <w:top w:val="none" w:sz="0" w:space="0" w:color="auto"/>
            <w:left w:val="none" w:sz="0" w:space="0" w:color="auto"/>
            <w:bottom w:val="none" w:sz="0" w:space="0" w:color="auto"/>
            <w:right w:val="none" w:sz="0" w:space="0" w:color="auto"/>
          </w:divBdr>
        </w:div>
        <w:div w:id="1962953433">
          <w:marLeft w:val="806"/>
          <w:marRight w:val="0"/>
          <w:marTop w:val="0"/>
          <w:marBottom w:val="120"/>
          <w:divBdr>
            <w:top w:val="none" w:sz="0" w:space="0" w:color="auto"/>
            <w:left w:val="none" w:sz="0" w:space="0" w:color="auto"/>
            <w:bottom w:val="none" w:sz="0" w:space="0" w:color="auto"/>
            <w:right w:val="none" w:sz="0" w:space="0" w:color="auto"/>
          </w:divBdr>
        </w:div>
      </w:divsChild>
    </w:div>
    <w:div w:id="415790643">
      <w:bodyDiv w:val="1"/>
      <w:marLeft w:val="0"/>
      <w:marRight w:val="0"/>
      <w:marTop w:val="0"/>
      <w:marBottom w:val="0"/>
      <w:divBdr>
        <w:top w:val="none" w:sz="0" w:space="0" w:color="auto"/>
        <w:left w:val="none" w:sz="0" w:space="0" w:color="auto"/>
        <w:bottom w:val="none" w:sz="0" w:space="0" w:color="auto"/>
        <w:right w:val="none" w:sz="0" w:space="0" w:color="auto"/>
      </w:divBdr>
      <w:divsChild>
        <w:div w:id="135031049">
          <w:marLeft w:val="806"/>
          <w:marRight w:val="0"/>
          <w:marTop w:val="0"/>
          <w:marBottom w:val="120"/>
          <w:divBdr>
            <w:top w:val="none" w:sz="0" w:space="0" w:color="auto"/>
            <w:left w:val="none" w:sz="0" w:space="0" w:color="auto"/>
            <w:bottom w:val="none" w:sz="0" w:space="0" w:color="auto"/>
            <w:right w:val="none" w:sz="0" w:space="0" w:color="auto"/>
          </w:divBdr>
        </w:div>
        <w:div w:id="435295767">
          <w:marLeft w:val="806"/>
          <w:marRight w:val="0"/>
          <w:marTop w:val="0"/>
          <w:marBottom w:val="120"/>
          <w:divBdr>
            <w:top w:val="none" w:sz="0" w:space="0" w:color="auto"/>
            <w:left w:val="none" w:sz="0" w:space="0" w:color="auto"/>
            <w:bottom w:val="none" w:sz="0" w:space="0" w:color="auto"/>
            <w:right w:val="none" w:sz="0" w:space="0" w:color="auto"/>
          </w:divBdr>
        </w:div>
        <w:div w:id="712926944">
          <w:marLeft w:val="806"/>
          <w:marRight w:val="0"/>
          <w:marTop w:val="0"/>
          <w:marBottom w:val="120"/>
          <w:divBdr>
            <w:top w:val="none" w:sz="0" w:space="0" w:color="auto"/>
            <w:left w:val="none" w:sz="0" w:space="0" w:color="auto"/>
            <w:bottom w:val="none" w:sz="0" w:space="0" w:color="auto"/>
            <w:right w:val="none" w:sz="0" w:space="0" w:color="auto"/>
          </w:divBdr>
        </w:div>
        <w:div w:id="838152917">
          <w:marLeft w:val="446"/>
          <w:marRight w:val="0"/>
          <w:marTop w:val="0"/>
          <w:marBottom w:val="120"/>
          <w:divBdr>
            <w:top w:val="none" w:sz="0" w:space="0" w:color="auto"/>
            <w:left w:val="none" w:sz="0" w:space="0" w:color="auto"/>
            <w:bottom w:val="none" w:sz="0" w:space="0" w:color="auto"/>
            <w:right w:val="none" w:sz="0" w:space="0" w:color="auto"/>
          </w:divBdr>
        </w:div>
        <w:div w:id="1789087111">
          <w:marLeft w:val="1181"/>
          <w:marRight w:val="0"/>
          <w:marTop w:val="0"/>
          <w:marBottom w:val="120"/>
          <w:divBdr>
            <w:top w:val="none" w:sz="0" w:space="0" w:color="auto"/>
            <w:left w:val="none" w:sz="0" w:space="0" w:color="auto"/>
            <w:bottom w:val="none" w:sz="0" w:space="0" w:color="auto"/>
            <w:right w:val="none" w:sz="0" w:space="0" w:color="auto"/>
          </w:divBdr>
        </w:div>
        <w:div w:id="2109690459">
          <w:marLeft w:val="806"/>
          <w:marRight w:val="0"/>
          <w:marTop w:val="0"/>
          <w:marBottom w:val="120"/>
          <w:divBdr>
            <w:top w:val="none" w:sz="0" w:space="0" w:color="auto"/>
            <w:left w:val="none" w:sz="0" w:space="0" w:color="auto"/>
            <w:bottom w:val="none" w:sz="0" w:space="0" w:color="auto"/>
            <w:right w:val="none" w:sz="0" w:space="0" w:color="auto"/>
          </w:divBdr>
        </w:div>
      </w:divsChild>
    </w:div>
    <w:div w:id="524441240">
      <w:bodyDiv w:val="1"/>
      <w:marLeft w:val="0"/>
      <w:marRight w:val="0"/>
      <w:marTop w:val="0"/>
      <w:marBottom w:val="0"/>
      <w:divBdr>
        <w:top w:val="none" w:sz="0" w:space="0" w:color="auto"/>
        <w:left w:val="none" w:sz="0" w:space="0" w:color="auto"/>
        <w:bottom w:val="none" w:sz="0" w:space="0" w:color="auto"/>
        <w:right w:val="none" w:sz="0" w:space="0" w:color="auto"/>
      </w:divBdr>
    </w:div>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744961054">
      <w:bodyDiv w:val="1"/>
      <w:marLeft w:val="0"/>
      <w:marRight w:val="0"/>
      <w:marTop w:val="0"/>
      <w:marBottom w:val="0"/>
      <w:divBdr>
        <w:top w:val="none" w:sz="0" w:space="0" w:color="auto"/>
        <w:left w:val="none" w:sz="0" w:space="0" w:color="auto"/>
        <w:bottom w:val="none" w:sz="0" w:space="0" w:color="auto"/>
        <w:right w:val="none" w:sz="0" w:space="0" w:color="auto"/>
      </w:divBdr>
    </w:div>
    <w:div w:id="8478679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9193229">
      <w:bodyDiv w:val="1"/>
      <w:marLeft w:val="0"/>
      <w:marRight w:val="0"/>
      <w:marTop w:val="0"/>
      <w:marBottom w:val="0"/>
      <w:divBdr>
        <w:top w:val="none" w:sz="0" w:space="0" w:color="auto"/>
        <w:left w:val="none" w:sz="0" w:space="0" w:color="auto"/>
        <w:bottom w:val="none" w:sz="0" w:space="0" w:color="auto"/>
        <w:right w:val="none" w:sz="0" w:space="0" w:color="auto"/>
      </w:divBdr>
      <w:divsChild>
        <w:div w:id="317153715">
          <w:marLeft w:val="360"/>
          <w:marRight w:val="0"/>
          <w:marTop w:val="0"/>
          <w:marBottom w:val="120"/>
          <w:divBdr>
            <w:top w:val="none" w:sz="0" w:space="0" w:color="auto"/>
            <w:left w:val="none" w:sz="0" w:space="0" w:color="auto"/>
            <w:bottom w:val="none" w:sz="0" w:space="0" w:color="auto"/>
            <w:right w:val="none" w:sz="0" w:space="0" w:color="auto"/>
          </w:divBdr>
        </w:div>
        <w:div w:id="490412992">
          <w:marLeft w:val="360"/>
          <w:marRight w:val="0"/>
          <w:marTop w:val="0"/>
          <w:marBottom w:val="120"/>
          <w:divBdr>
            <w:top w:val="none" w:sz="0" w:space="0" w:color="auto"/>
            <w:left w:val="none" w:sz="0" w:space="0" w:color="auto"/>
            <w:bottom w:val="none" w:sz="0" w:space="0" w:color="auto"/>
            <w:right w:val="none" w:sz="0" w:space="0" w:color="auto"/>
          </w:divBdr>
        </w:div>
        <w:div w:id="959336809">
          <w:marLeft w:val="360"/>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218165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6590115">
      <w:bodyDiv w:val="1"/>
      <w:marLeft w:val="0"/>
      <w:marRight w:val="0"/>
      <w:marTop w:val="0"/>
      <w:marBottom w:val="0"/>
      <w:divBdr>
        <w:top w:val="none" w:sz="0" w:space="0" w:color="auto"/>
        <w:left w:val="none" w:sz="0" w:space="0" w:color="auto"/>
        <w:bottom w:val="none" w:sz="0" w:space="0" w:color="auto"/>
        <w:right w:val="none" w:sz="0" w:space="0" w:color="auto"/>
      </w:divBdr>
      <w:divsChild>
        <w:div w:id="173495327">
          <w:marLeft w:val="806"/>
          <w:marRight w:val="0"/>
          <w:marTop w:val="0"/>
          <w:marBottom w:val="120"/>
          <w:divBdr>
            <w:top w:val="none" w:sz="0" w:space="0" w:color="auto"/>
            <w:left w:val="none" w:sz="0" w:space="0" w:color="auto"/>
            <w:bottom w:val="none" w:sz="0" w:space="0" w:color="auto"/>
            <w:right w:val="none" w:sz="0" w:space="0" w:color="auto"/>
          </w:divBdr>
        </w:div>
        <w:div w:id="238558448">
          <w:marLeft w:val="446"/>
          <w:marRight w:val="0"/>
          <w:marTop w:val="0"/>
          <w:marBottom w:val="120"/>
          <w:divBdr>
            <w:top w:val="none" w:sz="0" w:space="0" w:color="auto"/>
            <w:left w:val="none" w:sz="0" w:space="0" w:color="auto"/>
            <w:bottom w:val="none" w:sz="0" w:space="0" w:color="auto"/>
            <w:right w:val="none" w:sz="0" w:space="0" w:color="auto"/>
          </w:divBdr>
        </w:div>
        <w:div w:id="293676232">
          <w:marLeft w:val="806"/>
          <w:marRight w:val="0"/>
          <w:marTop w:val="0"/>
          <w:marBottom w:val="120"/>
          <w:divBdr>
            <w:top w:val="none" w:sz="0" w:space="0" w:color="auto"/>
            <w:left w:val="none" w:sz="0" w:space="0" w:color="auto"/>
            <w:bottom w:val="none" w:sz="0" w:space="0" w:color="auto"/>
            <w:right w:val="none" w:sz="0" w:space="0" w:color="auto"/>
          </w:divBdr>
        </w:div>
        <w:div w:id="557595544">
          <w:marLeft w:val="446"/>
          <w:marRight w:val="0"/>
          <w:marTop w:val="0"/>
          <w:marBottom w:val="120"/>
          <w:divBdr>
            <w:top w:val="none" w:sz="0" w:space="0" w:color="auto"/>
            <w:left w:val="none" w:sz="0" w:space="0" w:color="auto"/>
            <w:bottom w:val="none" w:sz="0" w:space="0" w:color="auto"/>
            <w:right w:val="none" w:sz="0" w:space="0" w:color="auto"/>
          </w:divBdr>
        </w:div>
        <w:div w:id="899752513">
          <w:marLeft w:val="806"/>
          <w:marRight w:val="0"/>
          <w:marTop w:val="0"/>
          <w:marBottom w:val="120"/>
          <w:divBdr>
            <w:top w:val="none" w:sz="0" w:space="0" w:color="auto"/>
            <w:left w:val="none" w:sz="0" w:space="0" w:color="auto"/>
            <w:bottom w:val="none" w:sz="0" w:space="0" w:color="auto"/>
            <w:right w:val="none" w:sz="0" w:space="0" w:color="auto"/>
          </w:divBdr>
        </w:div>
        <w:div w:id="1172838459">
          <w:marLeft w:val="446"/>
          <w:marRight w:val="0"/>
          <w:marTop w:val="0"/>
          <w:marBottom w:val="120"/>
          <w:divBdr>
            <w:top w:val="none" w:sz="0" w:space="0" w:color="auto"/>
            <w:left w:val="none" w:sz="0" w:space="0" w:color="auto"/>
            <w:bottom w:val="none" w:sz="0" w:space="0" w:color="auto"/>
            <w:right w:val="none" w:sz="0" w:space="0" w:color="auto"/>
          </w:divBdr>
        </w:div>
        <w:div w:id="1213885783">
          <w:marLeft w:val="446"/>
          <w:marRight w:val="0"/>
          <w:marTop w:val="0"/>
          <w:marBottom w:val="120"/>
          <w:divBdr>
            <w:top w:val="none" w:sz="0" w:space="0" w:color="auto"/>
            <w:left w:val="none" w:sz="0" w:space="0" w:color="auto"/>
            <w:bottom w:val="none" w:sz="0" w:space="0" w:color="auto"/>
            <w:right w:val="none" w:sz="0" w:space="0" w:color="auto"/>
          </w:divBdr>
        </w:div>
        <w:div w:id="1221329277">
          <w:marLeft w:val="446"/>
          <w:marRight w:val="0"/>
          <w:marTop w:val="0"/>
          <w:marBottom w:val="120"/>
          <w:divBdr>
            <w:top w:val="none" w:sz="0" w:space="0" w:color="auto"/>
            <w:left w:val="none" w:sz="0" w:space="0" w:color="auto"/>
            <w:bottom w:val="none" w:sz="0" w:space="0" w:color="auto"/>
            <w:right w:val="none" w:sz="0" w:space="0" w:color="auto"/>
          </w:divBdr>
        </w:div>
        <w:div w:id="1582055770">
          <w:marLeft w:val="806"/>
          <w:marRight w:val="0"/>
          <w:marTop w:val="0"/>
          <w:marBottom w:val="120"/>
          <w:divBdr>
            <w:top w:val="none" w:sz="0" w:space="0" w:color="auto"/>
            <w:left w:val="none" w:sz="0" w:space="0" w:color="auto"/>
            <w:bottom w:val="none" w:sz="0" w:space="0" w:color="auto"/>
            <w:right w:val="none" w:sz="0" w:space="0" w:color="auto"/>
          </w:divBdr>
        </w:div>
        <w:div w:id="1699239046">
          <w:marLeft w:val="806"/>
          <w:marRight w:val="0"/>
          <w:marTop w:val="0"/>
          <w:marBottom w:val="120"/>
          <w:divBdr>
            <w:top w:val="none" w:sz="0" w:space="0" w:color="auto"/>
            <w:left w:val="none" w:sz="0" w:space="0" w:color="auto"/>
            <w:bottom w:val="none" w:sz="0" w:space="0" w:color="auto"/>
            <w:right w:val="none" w:sz="0" w:space="0" w:color="auto"/>
          </w:divBdr>
        </w:div>
        <w:div w:id="1909152015">
          <w:marLeft w:val="446"/>
          <w:marRight w:val="0"/>
          <w:marTop w:val="0"/>
          <w:marBottom w:val="120"/>
          <w:divBdr>
            <w:top w:val="none" w:sz="0" w:space="0" w:color="auto"/>
            <w:left w:val="none" w:sz="0" w:space="0" w:color="auto"/>
            <w:bottom w:val="none" w:sz="0" w:space="0" w:color="auto"/>
            <w:right w:val="none" w:sz="0" w:space="0" w:color="auto"/>
          </w:divBdr>
        </w:div>
        <w:div w:id="1924753420">
          <w:marLeft w:val="806"/>
          <w:marRight w:val="0"/>
          <w:marTop w:val="0"/>
          <w:marBottom w:val="120"/>
          <w:divBdr>
            <w:top w:val="none" w:sz="0" w:space="0" w:color="auto"/>
            <w:left w:val="none" w:sz="0" w:space="0" w:color="auto"/>
            <w:bottom w:val="none" w:sz="0" w:space="0" w:color="auto"/>
            <w:right w:val="none" w:sz="0" w:space="0" w:color="auto"/>
          </w:divBdr>
        </w:div>
      </w:divsChild>
    </w:div>
    <w:div w:id="1388451301">
      <w:bodyDiv w:val="1"/>
      <w:marLeft w:val="0"/>
      <w:marRight w:val="0"/>
      <w:marTop w:val="0"/>
      <w:marBottom w:val="0"/>
      <w:divBdr>
        <w:top w:val="none" w:sz="0" w:space="0" w:color="auto"/>
        <w:left w:val="none" w:sz="0" w:space="0" w:color="auto"/>
        <w:bottom w:val="none" w:sz="0" w:space="0" w:color="auto"/>
        <w:right w:val="none" w:sz="0" w:space="0" w:color="auto"/>
      </w:divBdr>
    </w:div>
    <w:div w:id="1497260722">
      <w:bodyDiv w:val="1"/>
      <w:marLeft w:val="0"/>
      <w:marRight w:val="0"/>
      <w:marTop w:val="0"/>
      <w:marBottom w:val="0"/>
      <w:divBdr>
        <w:top w:val="none" w:sz="0" w:space="0" w:color="auto"/>
        <w:left w:val="none" w:sz="0" w:space="0" w:color="auto"/>
        <w:bottom w:val="none" w:sz="0" w:space="0" w:color="auto"/>
        <w:right w:val="none" w:sz="0" w:space="0" w:color="auto"/>
      </w:divBdr>
    </w:div>
    <w:div w:id="1552375308">
      <w:bodyDiv w:val="1"/>
      <w:marLeft w:val="0"/>
      <w:marRight w:val="0"/>
      <w:marTop w:val="0"/>
      <w:marBottom w:val="0"/>
      <w:divBdr>
        <w:top w:val="none" w:sz="0" w:space="0" w:color="auto"/>
        <w:left w:val="none" w:sz="0" w:space="0" w:color="auto"/>
        <w:bottom w:val="none" w:sz="0" w:space="0" w:color="auto"/>
        <w:right w:val="none" w:sz="0" w:space="0" w:color="auto"/>
      </w:divBdr>
    </w:div>
    <w:div w:id="1628195907">
      <w:bodyDiv w:val="1"/>
      <w:marLeft w:val="0"/>
      <w:marRight w:val="0"/>
      <w:marTop w:val="0"/>
      <w:marBottom w:val="0"/>
      <w:divBdr>
        <w:top w:val="none" w:sz="0" w:space="0" w:color="auto"/>
        <w:left w:val="none" w:sz="0" w:space="0" w:color="auto"/>
        <w:bottom w:val="none" w:sz="0" w:space="0" w:color="auto"/>
        <w:right w:val="none" w:sz="0" w:space="0" w:color="auto"/>
      </w:divBdr>
    </w:div>
    <w:div w:id="1689528980">
      <w:bodyDiv w:val="1"/>
      <w:marLeft w:val="0"/>
      <w:marRight w:val="0"/>
      <w:marTop w:val="0"/>
      <w:marBottom w:val="0"/>
      <w:divBdr>
        <w:top w:val="none" w:sz="0" w:space="0" w:color="auto"/>
        <w:left w:val="none" w:sz="0" w:space="0" w:color="auto"/>
        <w:bottom w:val="none" w:sz="0" w:space="0" w:color="auto"/>
        <w:right w:val="none" w:sz="0" w:space="0" w:color="auto"/>
      </w:divBdr>
    </w:div>
    <w:div w:id="1869414577">
      <w:bodyDiv w:val="1"/>
      <w:marLeft w:val="0"/>
      <w:marRight w:val="0"/>
      <w:marTop w:val="0"/>
      <w:marBottom w:val="0"/>
      <w:divBdr>
        <w:top w:val="none" w:sz="0" w:space="0" w:color="auto"/>
        <w:left w:val="none" w:sz="0" w:space="0" w:color="auto"/>
        <w:bottom w:val="none" w:sz="0" w:space="0" w:color="auto"/>
        <w:right w:val="none" w:sz="0" w:space="0" w:color="auto"/>
      </w:divBdr>
      <w:divsChild>
        <w:div w:id="47725855">
          <w:marLeft w:val="446"/>
          <w:marRight w:val="0"/>
          <w:marTop w:val="0"/>
          <w:marBottom w:val="120"/>
          <w:divBdr>
            <w:top w:val="none" w:sz="0" w:space="0" w:color="auto"/>
            <w:left w:val="none" w:sz="0" w:space="0" w:color="auto"/>
            <w:bottom w:val="none" w:sz="0" w:space="0" w:color="auto"/>
            <w:right w:val="none" w:sz="0" w:space="0" w:color="auto"/>
          </w:divBdr>
        </w:div>
        <w:div w:id="751896086">
          <w:marLeft w:val="446"/>
          <w:marRight w:val="0"/>
          <w:marTop w:val="0"/>
          <w:marBottom w:val="120"/>
          <w:divBdr>
            <w:top w:val="none" w:sz="0" w:space="0" w:color="auto"/>
            <w:left w:val="none" w:sz="0" w:space="0" w:color="auto"/>
            <w:bottom w:val="none" w:sz="0" w:space="0" w:color="auto"/>
            <w:right w:val="none" w:sz="0" w:space="0" w:color="auto"/>
          </w:divBdr>
        </w:div>
        <w:div w:id="888685707">
          <w:marLeft w:val="446"/>
          <w:marRight w:val="0"/>
          <w:marTop w:val="0"/>
          <w:marBottom w:val="120"/>
          <w:divBdr>
            <w:top w:val="none" w:sz="0" w:space="0" w:color="auto"/>
            <w:left w:val="none" w:sz="0" w:space="0" w:color="auto"/>
            <w:bottom w:val="none" w:sz="0" w:space="0" w:color="auto"/>
            <w:right w:val="none" w:sz="0" w:space="0" w:color="auto"/>
          </w:divBdr>
        </w:div>
        <w:div w:id="923421037">
          <w:marLeft w:val="806"/>
          <w:marRight w:val="0"/>
          <w:marTop w:val="0"/>
          <w:marBottom w:val="120"/>
          <w:divBdr>
            <w:top w:val="none" w:sz="0" w:space="0" w:color="auto"/>
            <w:left w:val="none" w:sz="0" w:space="0" w:color="auto"/>
            <w:bottom w:val="none" w:sz="0" w:space="0" w:color="auto"/>
            <w:right w:val="none" w:sz="0" w:space="0" w:color="auto"/>
          </w:divBdr>
        </w:div>
        <w:div w:id="1015113822">
          <w:marLeft w:val="806"/>
          <w:marRight w:val="0"/>
          <w:marTop w:val="0"/>
          <w:marBottom w:val="120"/>
          <w:divBdr>
            <w:top w:val="none" w:sz="0" w:space="0" w:color="auto"/>
            <w:left w:val="none" w:sz="0" w:space="0" w:color="auto"/>
            <w:bottom w:val="none" w:sz="0" w:space="0" w:color="auto"/>
            <w:right w:val="none" w:sz="0" w:space="0" w:color="auto"/>
          </w:divBdr>
        </w:div>
        <w:div w:id="1177232242">
          <w:marLeft w:val="446"/>
          <w:marRight w:val="0"/>
          <w:marTop w:val="0"/>
          <w:marBottom w:val="120"/>
          <w:divBdr>
            <w:top w:val="none" w:sz="0" w:space="0" w:color="auto"/>
            <w:left w:val="none" w:sz="0" w:space="0" w:color="auto"/>
            <w:bottom w:val="none" w:sz="0" w:space="0" w:color="auto"/>
            <w:right w:val="none" w:sz="0" w:space="0" w:color="auto"/>
          </w:divBdr>
        </w:div>
        <w:div w:id="1269895852">
          <w:marLeft w:val="806"/>
          <w:marRight w:val="0"/>
          <w:marTop w:val="0"/>
          <w:marBottom w:val="120"/>
          <w:divBdr>
            <w:top w:val="none" w:sz="0" w:space="0" w:color="auto"/>
            <w:left w:val="none" w:sz="0" w:space="0" w:color="auto"/>
            <w:bottom w:val="none" w:sz="0" w:space="0" w:color="auto"/>
            <w:right w:val="none" w:sz="0" w:space="0" w:color="auto"/>
          </w:divBdr>
        </w:div>
        <w:div w:id="1563104576">
          <w:marLeft w:val="806"/>
          <w:marRight w:val="0"/>
          <w:marTop w:val="0"/>
          <w:marBottom w:val="120"/>
          <w:divBdr>
            <w:top w:val="none" w:sz="0" w:space="0" w:color="auto"/>
            <w:left w:val="none" w:sz="0" w:space="0" w:color="auto"/>
            <w:bottom w:val="none" w:sz="0" w:space="0" w:color="auto"/>
            <w:right w:val="none" w:sz="0" w:space="0" w:color="auto"/>
          </w:divBdr>
        </w:div>
        <w:div w:id="1630818535">
          <w:marLeft w:val="806"/>
          <w:marRight w:val="0"/>
          <w:marTop w:val="0"/>
          <w:marBottom w:val="120"/>
          <w:divBdr>
            <w:top w:val="none" w:sz="0" w:space="0" w:color="auto"/>
            <w:left w:val="none" w:sz="0" w:space="0" w:color="auto"/>
            <w:bottom w:val="none" w:sz="0" w:space="0" w:color="auto"/>
            <w:right w:val="none" w:sz="0" w:space="0" w:color="auto"/>
          </w:divBdr>
        </w:div>
        <w:div w:id="1827551756">
          <w:marLeft w:val="806"/>
          <w:marRight w:val="0"/>
          <w:marTop w:val="0"/>
          <w:marBottom w:val="120"/>
          <w:divBdr>
            <w:top w:val="none" w:sz="0" w:space="0" w:color="auto"/>
            <w:left w:val="none" w:sz="0" w:space="0" w:color="auto"/>
            <w:bottom w:val="none" w:sz="0" w:space="0" w:color="auto"/>
            <w:right w:val="none" w:sz="0" w:space="0" w:color="auto"/>
          </w:divBdr>
        </w:div>
        <w:div w:id="1873834978">
          <w:marLeft w:val="806"/>
          <w:marRight w:val="0"/>
          <w:marTop w:val="0"/>
          <w:marBottom w:val="120"/>
          <w:divBdr>
            <w:top w:val="none" w:sz="0" w:space="0" w:color="auto"/>
            <w:left w:val="none" w:sz="0" w:space="0" w:color="auto"/>
            <w:bottom w:val="none" w:sz="0" w:space="0" w:color="auto"/>
            <w:right w:val="none" w:sz="0" w:space="0" w:color="auto"/>
          </w:divBdr>
        </w:div>
      </w:divsChild>
    </w:div>
    <w:div w:id="2038237684">
      <w:bodyDiv w:val="1"/>
      <w:marLeft w:val="0"/>
      <w:marRight w:val="0"/>
      <w:marTop w:val="0"/>
      <w:marBottom w:val="0"/>
      <w:divBdr>
        <w:top w:val="none" w:sz="0" w:space="0" w:color="auto"/>
        <w:left w:val="none" w:sz="0" w:space="0" w:color="auto"/>
        <w:bottom w:val="none" w:sz="0" w:space="0" w:color="auto"/>
        <w:right w:val="none" w:sz="0" w:space="0" w:color="auto"/>
      </w:divBdr>
      <w:divsChild>
        <w:div w:id="52774645">
          <w:marLeft w:val="907"/>
          <w:marRight w:val="0"/>
          <w:marTop w:val="0"/>
          <w:marBottom w:val="120"/>
          <w:divBdr>
            <w:top w:val="none" w:sz="0" w:space="0" w:color="auto"/>
            <w:left w:val="none" w:sz="0" w:space="0" w:color="auto"/>
            <w:bottom w:val="none" w:sz="0" w:space="0" w:color="auto"/>
            <w:right w:val="none" w:sz="0" w:space="0" w:color="auto"/>
          </w:divBdr>
        </w:div>
        <w:div w:id="253897581">
          <w:marLeft w:val="446"/>
          <w:marRight w:val="0"/>
          <w:marTop w:val="0"/>
          <w:marBottom w:val="120"/>
          <w:divBdr>
            <w:top w:val="none" w:sz="0" w:space="0" w:color="auto"/>
            <w:left w:val="none" w:sz="0" w:space="0" w:color="auto"/>
            <w:bottom w:val="none" w:sz="0" w:space="0" w:color="auto"/>
            <w:right w:val="none" w:sz="0" w:space="0" w:color="auto"/>
          </w:divBdr>
        </w:div>
        <w:div w:id="1687906508">
          <w:marLeft w:val="547"/>
          <w:marRight w:val="0"/>
          <w:marTop w:val="0"/>
          <w:marBottom w:val="120"/>
          <w:divBdr>
            <w:top w:val="none" w:sz="0" w:space="0" w:color="auto"/>
            <w:left w:val="none" w:sz="0" w:space="0" w:color="auto"/>
            <w:bottom w:val="none" w:sz="0" w:space="0" w:color="auto"/>
            <w:right w:val="none" w:sz="0" w:space="0" w:color="auto"/>
          </w:divBdr>
        </w:div>
        <w:div w:id="2078092631">
          <w:marLeft w:val="907"/>
          <w:marRight w:val="0"/>
          <w:marTop w:val="0"/>
          <w:marBottom w:val="120"/>
          <w:divBdr>
            <w:top w:val="none" w:sz="0" w:space="0" w:color="auto"/>
            <w:left w:val="none" w:sz="0" w:space="0" w:color="auto"/>
            <w:bottom w:val="none" w:sz="0" w:space="0" w:color="auto"/>
            <w:right w:val="none" w:sz="0" w:space="0" w:color="auto"/>
          </w:divBdr>
        </w:div>
      </w:divsChild>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5AIRPNAIUNRU-859666464-12439</_dlc_DocId>
    <_dlc_DocIdUrl xmlns="71c5aaf6-e6ce-465b-b873-5148d2a4c105">
      <Url>https://nokia.sharepoint.com/sites/c5g/e2earch/_layouts/15/DocIdRedir.aspx?ID=5AIRPNAIUNRU-859666464-12439</Url>
      <Description>5AIRPNAIUNRU-859666464-12439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4E9E165-DAF8-40C3-895A-D84115C91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2925</Words>
  <Characters>16674</Characters>
  <Application>Microsoft Office Word</Application>
  <DocSecurity>4</DocSecurity>
  <Lines>138</Lines>
  <Paragraphs>39</Paragraphs>
  <ScaleCrop>false</ScaleCrop>
  <Manager/>
  <Company>Nokia</Company>
  <LinksUpToDate>false</LinksUpToDate>
  <CharactersWithSpaces>19560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Stanczak, Jedrzej (Nokia - PL/Wroclaw)</cp:lastModifiedBy>
  <cp:revision>454</cp:revision>
  <dcterms:created xsi:type="dcterms:W3CDTF">2022-07-01T10:27:00Z</dcterms:created>
  <dcterms:modified xsi:type="dcterms:W3CDTF">2022-09-30T04:35:00Z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32de26e9-733a-4d65-8a81-bd12b202f810</vt:lpwstr>
  </property>
</Properties>
</file>